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60" w:rsidRPr="00B15743" w:rsidRDefault="00124D60" w:rsidP="00124D6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u w:val="single"/>
        </w:rPr>
      </w:pPr>
      <w:r w:rsidRPr="00FD511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SAFETY INSPECTIONS REPORT</w:t>
      </w:r>
    </w:p>
    <w:p w:rsidR="006E48FA" w:rsidRDefault="006E48FA" w:rsidP="00124D60">
      <w:pPr>
        <w:autoSpaceDE w:val="0"/>
        <w:autoSpaceDN w:val="0"/>
        <w:adjustRightInd w:val="0"/>
        <w:spacing w:after="0" w:line="240" w:lineRule="auto"/>
      </w:pPr>
    </w:p>
    <w:p w:rsidR="006E48FA" w:rsidRDefault="006E48FA" w:rsidP="00124D60">
      <w:pPr>
        <w:autoSpaceDE w:val="0"/>
        <w:autoSpaceDN w:val="0"/>
        <w:adjustRightInd w:val="0"/>
        <w:spacing w:after="0" w:line="240" w:lineRule="auto"/>
      </w:pPr>
      <w:r>
        <w:t>SANITATION STANDARD OPERATING PROCEDURES</w:t>
      </w:r>
    </w:p>
    <w:p w:rsidR="00124D60" w:rsidRDefault="00124D60" w:rsidP="00124D60">
      <w:pPr>
        <w:autoSpaceDE w:val="0"/>
        <w:autoSpaceDN w:val="0"/>
        <w:adjustRightInd w:val="0"/>
        <w:spacing w:after="0" w:line="240" w:lineRule="auto"/>
      </w:pPr>
    </w:p>
    <w:p w:rsidR="003D06D6" w:rsidRDefault="003D06D6" w:rsidP="003D06D6">
      <w:pPr>
        <w:autoSpaceDE w:val="0"/>
        <w:autoSpaceDN w:val="0"/>
        <w:adjustRightInd w:val="0"/>
        <w:spacing w:after="0" w:line="240" w:lineRule="auto"/>
      </w:pPr>
      <w:r>
        <w:t xml:space="preserve">This document provides food processors with examples of basic checklists to perform </w:t>
      </w:r>
      <w:r w:rsidR="004A249C">
        <w:t>internal inspections</w:t>
      </w:r>
      <w:r>
        <w:t xml:space="preserve"> of their food processing facilities. The ultimate goal of food inspections is to </w:t>
      </w:r>
      <w:r w:rsidR="004A249C">
        <w:t>ensure the</w:t>
      </w:r>
      <w:r>
        <w:t xml:space="preserve"> safety of all food products reaching commerce. To achieve this goal, a series of </w:t>
      </w:r>
      <w:r w:rsidR="004A249C">
        <w:t>inspections are</w:t>
      </w:r>
      <w:r>
        <w:t xml:space="preserve"> required before a HACCP inspection is performed. These pre-HACCP inspections </w:t>
      </w:r>
      <w:r w:rsidR="004A249C">
        <w:t>may include</w:t>
      </w:r>
      <w:r>
        <w:t xml:space="preserve"> the current Good Manufacturing Practices (GMPs), Good Agricultural Practices (GAPs</w:t>
      </w:r>
      <w:r w:rsidR="004A249C">
        <w:t>) and</w:t>
      </w:r>
      <w:r>
        <w:t xml:space="preserve"> Sanitation Standard Operating Procedures (SSOPs). Food processors may be able to </w:t>
      </w:r>
      <w:r w:rsidR="004A249C">
        <w:t>obtain other</w:t>
      </w:r>
      <w:r>
        <w:t xml:space="preserve"> inspection list examples by contacting their food inspectors. By doing this, they can </w:t>
      </w:r>
      <w:r w:rsidR="004A249C">
        <w:t>better prepare</w:t>
      </w:r>
      <w:r>
        <w:t xml:space="preserve"> facilities for formal inspection to comply with local, state and federal food laws </w:t>
      </w:r>
      <w:r w:rsidR="004A249C">
        <w:t>and regulations</w:t>
      </w:r>
      <w:r w:rsidR="006E48FA">
        <w:t xml:space="preserve">. For further detail you can visit </w:t>
      </w:r>
      <w:r w:rsidR="006E48FA" w:rsidRPr="006E48FA">
        <w:t>http://www.census.gov/retail</w:t>
      </w:r>
      <w:r w:rsidR="006E48FA">
        <w:t>.</w:t>
      </w:r>
    </w:p>
    <w:p w:rsidR="00FD5111" w:rsidRDefault="00FD5111" w:rsidP="003D06D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D5111" w:rsidRDefault="00FD5111" w:rsidP="003D06D6">
      <w:pPr>
        <w:autoSpaceDE w:val="0"/>
        <w:autoSpaceDN w:val="0"/>
        <w:adjustRightInd w:val="0"/>
        <w:spacing w:after="0" w:line="240" w:lineRule="auto"/>
      </w:pPr>
    </w:p>
    <w:p w:rsidR="003D06D6" w:rsidRPr="00FD5111" w:rsidRDefault="003D06D6" w:rsidP="003D06D6">
      <w:pPr>
        <w:autoSpaceDE w:val="0"/>
        <w:autoSpaceDN w:val="0"/>
        <w:adjustRightInd w:val="0"/>
        <w:spacing w:after="0" w:line="240" w:lineRule="auto"/>
        <w:rPr>
          <w:color w:val="FF0000"/>
          <w:u w:val="single"/>
        </w:rPr>
      </w:pPr>
      <w:r w:rsidRPr="00FD511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FOOD SAFETY INSPECTIONS</w:t>
      </w:r>
    </w:p>
    <w:p w:rsidR="006E48FA" w:rsidRDefault="006E48FA" w:rsidP="003D06D6">
      <w:pPr>
        <w:autoSpaceDE w:val="0"/>
        <w:autoSpaceDN w:val="0"/>
        <w:adjustRightInd w:val="0"/>
        <w:spacing w:after="0" w:line="240" w:lineRule="auto"/>
      </w:pPr>
    </w:p>
    <w:p w:rsidR="003D06D6" w:rsidRDefault="003D06D6" w:rsidP="003D06D6">
      <w:pPr>
        <w:autoSpaceDE w:val="0"/>
        <w:autoSpaceDN w:val="0"/>
        <w:adjustRightInd w:val="0"/>
        <w:spacing w:after="0" w:line="240" w:lineRule="auto"/>
      </w:pPr>
      <w:r>
        <w:t xml:space="preserve">The Food Safety inspection determines the hygiene conditions of the food </w:t>
      </w:r>
      <w:r w:rsidR="004A249C">
        <w:t>establishment inspected</w:t>
      </w:r>
      <w:r>
        <w:t>. Traditional inspections focus on the general aspects related to visually inspected</w:t>
      </w:r>
      <w:r w:rsidR="009D0B21">
        <w:t xml:space="preserve"> </w:t>
      </w:r>
      <w:r>
        <w:t xml:space="preserve">cleanliness and sanitation of equipment and facilities and the food handling habits of </w:t>
      </w:r>
      <w:r w:rsidR="004A249C">
        <w:t>workers. This</w:t>
      </w:r>
      <w:r>
        <w:t xml:space="preserve"> inspection is an important part of GMPs and the new federal requirements compliance</w:t>
      </w:r>
      <w:r w:rsidR="009D0B21">
        <w:t xml:space="preserve"> </w:t>
      </w:r>
      <w:r>
        <w:t>However, a more thorough and effective inspection for the meat and poultry industries (USDA)</w:t>
      </w:r>
      <w:r w:rsidR="009D0B21">
        <w:t xml:space="preserve"> </w:t>
      </w:r>
      <w:r>
        <w:t xml:space="preserve">and the seafood industry (FDA) is necessary to ensure compliance with HACCP-based </w:t>
      </w:r>
      <w:r w:rsidR="004A249C">
        <w:t>programs and</w:t>
      </w:r>
      <w:r>
        <w:t xml:space="preserve"> SSOPs.HACCP-based inspections or audits verify that a particular facility has included correct</w:t>
      </w:r>
      <w:r w:rsidR="009D0B21">
        <w:t xml:space="preserve"> </w:t>
      </w:r>
      <w:r>
        <w:t xml:space="preserve">implementation of GAPs, GMPs, SSOPs and a HACCP program as necessary. </w:t>
      </w:r>
      <w:r w:rsidR="004A249C">
        <w:t>These results</w:t>
      </w:r>
      <w:r>
        <w:t xml:space="preserve"> in</w:t>
      </w:r>
      <w:r w:rsidR="009D0B21">
        <w:t xml:space="preserve"> </w:t>
      </w:r>
      <w:r>
        <w:t>having a system that ensures the production of safe and wholesome food products.</w:t>
      </w:r>
      <w:r w:rsidR="009D0B21">
        <w:t xml:space="preserve"> </w:t>
      </w:r>
      <w:r>
        <w:t>This publication contains sample forms of inspections for food establishments. Companies</w:t>
      </w:r>
      <w:r w:rsidR="009D0B21">
        <w:t xml:space="preserve"> </w:t>
      </w:r>
      <w:r>
        <w:t>should develop the</w:t>
      </w:r>
      <w:r w:rsidR="003A291E">
        <w:t>ir own inspection forms for inta</w:t>
      </w:r>
      <w:r>
        <w:t>rnal purposes and continuous improvements.</w:t>
      </w:r>
      <w:r w:rsidR="009D0B21">
        <w:t xml:space="preserve"> </w:t>
      </w:r>
      <w:r>
        <w:t>The forms can be computerized for easy rating calculations. Managers can then assess the status</w:t>
      </w:r>
    </w:p>
    <w:p w:rsidR="003D06D6" w:rsidRDefault="003D06D6" w:rsidP="003D06D6">
      <w:pPr>
        <w:autoSpaceDE w:val="0"/>
        <w:autoSpaceDN w:val="0"/>
        <w:adjustRightInd w:val="0"/>
        <w:spacing w:after="0" w:line="240" w:lineRule="auto"/>
      </w:pPr>
      <w:r>
        <w:t>of the company at any time. It is recommended that a professional be assigned the responsibility</w:t>
      </w:r>
      <w:r w:rsidR="009D0B21">
        <w:t xml:space="preserve"> </w:t>
      </w:r>
      <w:r>
        <w:t xml:space="preserve">for auditing. This reduces the possibilities of misunderstanding audit reports. It is </w:t>
      </w:r>
      <w:r w:rsidR="004A249C">
        <w:t>recommended that</w:t>
      </w:r>
      <w:r w:rsidR="003A291E">
        <w:t xml:space="preserve"> an assigned compe</w:t>
      </w:r>
      <w:r>
        <w:t>ny person be with the inspector or auditor throughout the whole</w:t>
      </w:r>
      <w:r w:rsidR="009D0B21">
        <w:t xml:space="preserve"> </w:t>
      </w:r>
      <w:r>
        <w:t xml:space="preserve">inspection to avoid misunderstandings at reporting </w:t>
      </w:r>
      <w:r w:rsidR="004A249C">
        <w:t>time. Besides</w:t>
      </w:r>
      <w:r>
        <w:t xml:space="preserve"> producing a safe and wholesome food product, self-inspections can help companies to</w:t>
      </w:r>
      <w:r w:rsidR="009D0B21">
        <w:t xml:space="preserve"> </w:t>
      </w:r>
      <w:r>
        <w:t xml:space="preserve">optimize operation, thus reducing production </w:t>
      </w:r>
      <w:r w:rsidR="004A249C">
        <w:t>costs. Start</w:t>
      </w:r>
      <w:r>
        <w:t xml:space="preserve"> your regular inspection and control activities with all the necessary tools as indicated below</w:t>
      </w:r>
      <w:r w:rsidR="009D0B21">
        <w:t xml:space="preserve"> </w:t>
      </w:r>
      <w:r>
        <w:t>in the Inspection and Control Tools List. Each inspection checklist has several questions that</w:t>
      </w:r>
      <w:r w:rsidR="009D0B21">
        <w:t xml:space="preserve"> </w:t>
      </w:r>
      <w:r>
        <w:t xml:space="preserve">need to be asked and answered during the actual </w:t>
      </w:r>
      <w:r w:rsidR="004A249C">
        <w:t>audit. Record</w:t>
      </w:r>
      <w:r>
        <w:t xml:space="preserve"> each answer on the Monthly Inspection Record Sheets. Calculate the percentage of</w:t>
      </w:r>
      <w:r w:rsidR="009D0B21">
        <w:t xml:space="preserve"> </w:t>
      </w:r>
      <w:r>
        <w:t>“good” answers. The ideal “clean and sanitized” establishment will have a score of 100%. The</w:t>
      </w:r>
      <w:r w:rsidR="009D0B21">
        <w:t xml:space="preserve"> </w:t>
      </w:r>
      <w:r>
        <w:t xml:space="preserve">lower the score, the more </w:t>
      </w:r>
      <w:r w:rsidR="004A249C">
        <w:t>opportunities</w:t>
      </w:r>
      <w:r>
        <w:t xml:space="preserve"> for improvement. </w:t>
      </w:r>
    </w:p>
    <w:p w:rsidR="00FA3FC3" w:rsidRDefault="00FA3FC3" w:rsidP="003D06D6">
      <w:pPr>
        <w:autoSpaceDE w:val="0"/>
        <w:autoSpaceDN w:val="0"/>
        <w:adjustRightInd w:val="0"/>
        <w:spacing w:after="0" w:line="240" w:lineRule="auto"/>
      </w:pPr>
    </w:p>
    <w:p w:rsidR="00FA3FC3" w:rsidRPr="00133C3A" w:rsidRDefault="00FA3FC3" w:rsidP="00FA3FC3">
      <w:pPr>
        <w:autoSpaceDE w:val="0"/>
        <w:autoSpaceDN w:val="0"/>
        <w:adjustRightInd w:val="0"/>
        <w:spacing w:after="0" w:line="24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33C3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SCHEDULE</w:t>
      </w:r>
    </w:p>
    <w:p w:rsidR="00FA3FC3" w:rsidRDefault="00FA3FC3" w:rsidP="00FA3FC3"/>
    <w:p w:rsidR="00FA3FC3" w:rsidRDefault="00FA3FC3" w:rsidP="00FA3FC3">
      <w:r>
        <w:t>Mon</w:t>
      </w:r>
      <w:r>
        <w:tab/>
        <w:t>Tue</w:t>
      </w:r>
      <w:r>
        <w:tab/>
        <w:t>Wed</w:t>
      </w:r>
      <w:r>
        <w:tab/>
        <w:t>Thu</w:t>
      </w:r>
      <w:r>
        <w:tab/>
        <w:t>Fri</w:t>
      </w:r>
    </w:p>
    <w:p w:rsidR="00FA3FC3" w:rsidRDefault="00FA3FC3" w:rsidP="00FA3FC3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A3FC3" w:rsidRDefault="00FA3FC3" w:rsidP="00FA3FC3">
      <w:r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FA3FC3" w:rsidRDefault="00FA3FC3" w:rsidP="00FA3FC3"/>
    <w:p w:rsidR="003D06D6" w:rsidRDefault="003D06D6"/>
    <w:p w:rsidR="00B764DC" w:rsidRPr="00133C3A" w:rsidRDefault="006E48FA" w:rsidP="003D06D6">
      <w:pPr>
        <w:autoSpaceDE w:val="0"/>
        <w:autoSpaceDN w:val="0"/>
        <w:adjustRightInd w:val="0"/>
        <w:spacing w:after="0" w:line="24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33C3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SALES INVESTIGATION TABLE</w:t>
      </w:r>
    </w:p>
    <w:p w:rsidR="00F02537" w:rsidRDefault="00F02537" w:rsidP="00D42754">
      <w:pPr>
        <w:autoSpaceDE w:val="0"/>
        <w:autoSpaceDN w:val="0"/>
        <w:adjustRightInd w:val="0"/>
        <w:spacing w:after="0" w:line="240" w:lineRule="auto"/>
      </w:pPr>
    </w:p>
    <w:tbl>
      <w:tblPr>
        <w:tblW w:w="4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10"/>
        <w:gridCol w:w="50"/>
        <w:gridCol w:w="1035"/>
        <w:gridCol w:w="25"/>
        <w:gridCol w:w="1060"/>
      </w:tblGrid>
      <w:tr w:rsidR="0012525A" w:rsidRPr="0012525A" w:rsidTr="001B0408">
        <w:trPr>
          <w:trHeight w:val="300"/>
        </w:trPr>
        <w:tc>
          <w:tcPr>
            <w:tcW w:w="116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25A" w:rsidRPr="0012525A" w:rsidRDefault="0012525A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b/>
              </w:rPr>
              <w:t>Yearly Inspection Records</w:t>
            </w:r>
          </w:p>
        </w:tc>
        <w:tc>
          <w:tcPr>
            <w:tcW w:w="101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12525A" w:rsidRPr="0012525A" w:rsidRDefault="0012525A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12525A" w:rsidRPr="0012525A" w:rsidRDefault="0012525A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:rsidR="0012525A" w:rsidRPr="0012525A" w:rsidRDefault="0012525A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764DC" w:rsidRPr="0012525A" w:rsidTr="005C2D51">
        <w:trPr>
          <w:trHeight w:val="300"/>
        </w:trPr>
        <w:tc>
          <w:tcPr>
            <w:tcW w:w="116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B6114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060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</w:tr>
      <w:tr w:rsidR="00B764DC" w:rsidRPr="0012525A" w:rsidTr="005C2D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Nutrition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3455</w:t>
            </w:r>
          </w:p>
        </w:tc>
      </w:tr>
      <w:tr w:rsidR="00B764DC" w:rsidRPr="0012525A" w:rsidTr="005C2D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Automobile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4321</w:t>
            </w:r>
          </w:p>
        </w:tc>
      </w:tr>
      <w:tr w:rsidR="00B764DC" w:rsidRPr="0012525A" w:rsidTr="005C2D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Stuff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4000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2345</w:t>
            </w:r>
          </w:p>
        </w:tc>
      </w:tr>
      <w:tr w:rsidR="00B764DC" w:rsidRPr="0012525A" w:rsidTr="005C2D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Electronics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3421</w:t>
            </w:r>
          </w:p>
        </w:tc>
      </w:tr>
      <w:tr w:rsidR="00B764DC" w:rsidRPr="0012525A" w:rsidTr="005C2D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3D06D6" w:rsidP="00B61146">
            <w:pPr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Erection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4500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64DC" w:rsidRPr="0012525A" w:rsidRDefault="00B764DC" w:rsidP="005C2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525A">
              <w:rPr>
                <w:rFonts w:ascii="Calibri" w:hAnsi="Calibri" w:cs="Calibri"/>
                <w:b/>
                <w:color w:val="000000"/>
              </w:rPr>
              <w:t>4000</w:t>
            </w:r>
          </w:p>
        </w:tc>
      </w:tr>
    </w:tbl>
    <w:p w:rsidR="00D42754" w:rsidRDefault="00D42754" w:rsidP="00D42754">
      <w:pPr>
        <w:autoSpaceDE w:val="0"/>
        <w:autoSpaceDN w:val="0"/>
        <w:adjustRightInd w:val="0"/>
        <w:spacing w:after="0" w:line="240" w:lineRule="auto"/>
      </w:pPr>
    </w:p>
    <w:p w:rsidR="00B764DC" w:rsidRDefault="00B764DC" w:rsidP="00D42754">
      <w:pPr>
        <w:autoSpaceDE w:val="0"/>
        <w:autoSpaceDN w:val="0"/>
        <w:adjustRightInd w:val="0"/>
        <w:spacing w:after="0" w:line="240" w:lineRule="auto"/>
      </w:pPr>
    </w:p>
    <w:p w:rsidR="009D0B21" w:rsidRDefault="003D06D6" w:rsidP="003D06D6">
      <w:r>
        <w:t>Count the total number of “good” answers and write this number down. You may want to</w:t>
      </w:r>
      <w:r w:rsidR="009D0B21">
        <w:t xml:space="preserve"> </w:t>
      </w:r>
      <w:r>
        <w:t>develop your rating scale for the HACCP checklist</w:t>
      </w:r>
      <w:r w:rsidR="004A249C">
        <w:t xml:space="preserve"> </w:t>
      </w:r>
      <w:r>
        <w:t>.Problems found during an inspection should be recorded in a notebook and corrected as soon as</w:t>
      </w:r>
      <w:r w:rsidR="009D0B21">
        <w:t xml:space="preserve"> </w:t>
      </w:r>
      <w:r>
        <w:t>possible before the next inspecti</w:t>
      </w:r>
      <w:r w:rsidR="003A291E">
        <w:t>on. Avoid having the same problo</w:t>
      </w:r>
      <w:r>
        <w:t>ms showing in your next</w:t>
      </w:r>
      <w:r w:rsidR="009D0B21">
        <w:t xml:space="preserve"> </w:t>
      </w:r>
      <w:r>
        <w:t>inspection. Keep Monthly Inspection Record Sheets as document evidence of your food safety</w:t>
      </w:r>
      <w:r w:rsidR="009D0B21">
        <w:t xml:space="preserve"> </w:t>
      </w:r>
      <w:r>
        <w:t>efforts</w:t>
      </w:r>
      <w:r w:rsidR="004A249C">
        <w:t>...</w:t>
      </w:r>
    </w:p>
    <w:p w:rsidR="003D06D6" w:rsidRDefault="006E48FA" w:rsidP="003D06D6">
      <w:r>
        <w:t>BASIC INSPECTION TOOLS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Pen and pencil 9. Flashlight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Writing tablet 10. UV light (optional)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Notebook 11. Thermometer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Inspection forms 12. Copies of Laws and Regulations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Watch 13. Hair nets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Gloves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Aprons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Microbiological Sample Kit for</w:t>
      </w:r>
    </w:p>
    <w:p w:rsidR="003D06D6" w:rsidRPr="000F323C" w:rsidRDefault="003D06D6" w:rsidP="000F323C">
      <w:pPr>
        <w:pStyle w:val="ListParagraph"/>
        <w:numPr>
          <w:ilvl w:val="0"/>
          <w:numId w:val="3"/>
        </w:numPr>
      </w:pPr>
      <w:r w:rsidRPr="000F323C">
        <w:t>Total Plate Count (by 3M) (optional)</w:t>
      </w:r>
    </w:p>
    <w:p w:rsidR="000F323C" w:rsidRPr="000F323C" w:rsidRDefault="000F323C" w:rsidP="000F323C">
      <w:pPr>
        <w:pStyle w:val="ListParagraph"/>
        <w:numPr>
          <w:ilvl w:val="0"/>
          <w:numId w:val="3"/>
        </w:numPr>
      </w:pPr>
      <w:r w:rsidRPr="000F323C">
        <w:t>9-Flashlight</w:t>
      </w:r>
    </w:p>
    <w:p w:rsidR="000F323C" w:rsidRPr="000F323C" w:rsidRDefault="000F323C" w:rsidP="000F323C">
      <w:pPr>
        <w:pStyle w:val="ListParagraph"/>
        <w:numPr>
          <w:ilvl w:val="0"/>
          <w:numId w:val="3"/>
        </w:numPr>
      </w:pPr>
      <w:r w:rsidRPr="000F323C">
        <w:t>10- UV light (optional)</w:t>
      </w:r>
    </w:p>
    <w:p w:rsidR="000F323C" w:rsidRPr="000F323C" w:rsidRDefault="000F323C" w:rsidP="000F323C">
      <w:pPr>
        <w:pStyle w:val="ListParagraph"/>
        <w:numPr>
          <w:ilvl w:val="0"/>
          <w:numId w:val="3"/>
        </w:numPr>
      </w:pPr>
      <w:r w:rsidRPr="000F323C">
        <w:t>11- Thermometer</w:t>
      </w:r>
    </w:p>
    <w:p w:rsidR="000F323C" w:rsidRPr="000F323C" w:rsidRDefault="000F323C" w:rsidP="000F323C">
      <w:pPr>
        <w:pStyle w:val="ListParagraph"/>
        <w:numPr>
          <w:ilvl w:val="0"/>
          <w:numId w:val="3"/>
        </w:numPr>
      </w:pPr>
      <w:r w:rsidRPr="000F323C">
        <w:t>12-Copies of Laws and Regulations</w:t>
      </w:r>
    </w:p>
    <w:p w:rsidR="000F323C" w:rsidRDefault="000F323C" w:rsidP="000F323C">
      <w:pPr>
        <w:pStyle w:val="ListParagraph"/>
        <w:numPr>
          <w:ilvl w:val="0"/>
          <w:numId w:val="3"/>
        </w:numPr>
      </w:pPr>
      <w:r w:rsidRPr="000F323C">
        <w:t>13-Hair nets</w:t>
      </w:r>
    </w:p>
    <w:p w:rsidR="00E056D3" w:rsidRDefault="00E056D3" w:rsidP="00E056D3">
      <w:pPr>
        <w:ind w:left="360"/>
      </w:pPr>
    </w:p>
    <w:p w:rsidR="00E056D3" w:rsidRDefault="00E056D3" w:rsidP="00E056D3">
      <w:pPr>
        <w:ind w:left="360"/>
      </w:pPr>
    </w:p>
    <w:p w:rsidR="00E056D3" w:rsidRDefault="00E056D3" w:rsidP="00E056D3">
      <w:pPr>
        <w:ind w:left="360"/>
      </w:pPr>
    </w:p>
    <w:p w:rsidR="00E056D3" w:rsidRPr="000F323C" w:rsidRDefault="00E056D3" w:rsidP="00E056D3">
      <w:pPr>
        <w:ind w:left="360"/>
      </w:pPr>
    </w:p>
    <w:p w:rsidR="00C60CF4" w:rsidRPr="00F832E9" w:rsidRDefault="00133C3A" w:rsidP="003640DD">
      <w:pPr>
        <w:autoSpaceDE w:val="0"/>
        <w:autoSpaceDN w:val="0"/>
        <w:adjustRightInd w:val="0"/>
        <w:spacing w:after="0" w:line="240" w:lineRule="auto"/>
      </w:pPr>
      <w:r w:rsidRPr="003640DD">
        <w:rPr>
          <w:b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A6D0803" wp14:editId="13D90919">
                <wp:simplePos x="0" y="0"/>
                <wp:positionH relativeFrom="margin">
                  <wp:posOffset>4829175</wp:posOffset>
                </wp:positionH>
                <wp:positionV relativeFrom="margin">
                  <wp:posOffset>41910</wp:posOffset>
                </wp:positionV>
                <wp:extent cx="1271905" cy="2760345"/>
                <wp:effectExtent l="38100" t="38100" r="118745" b="1162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1905" cy="276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613A" w:rsidRPr="00F24730" w:rsidRDefault="006D613A" w:rsidP="006D613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F24730">
                              <w:rPr>
                                <w:b/>
                                <w:color w:val="4F81BD" w:themeColor="accent1"/>
                              </w:rPr>
                              <w:t>POSTAGE &amp; FEES PAID</w:t>
                            </w:r>
                          </w:p>
                          <w:p w:rsidR="006D613A" w:rsidRPr="00F24730" w:rsidRDefault="003D06D6" w:rsidP="006D613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F24730">
                              <w:rPr>
                                <w:b/>
                                <w:color w:val="4F81BD" w:themeColor="accent1"/>
                              </w:rPr>
                              <w:t>Agency</w:t>
                            </w:r>
                            <w:r w:rsidR="006D613A" w:rsidRPr="00F24730">
                              <w:rPr>
                                <w:b/>
                                <w:color w:val="4F81BD" w:themeColor="accent1"/>
                              </w:rPr>
                              <w:t xml:space="preserve"> of the </w:t>
                            </w:r>
                            <w:r w:rsidRPr="00F24730">
                              <w:rPr>
                                <w:b/>
                                <w:color w:val="4F81BD" w:themeColor="accent1"/>
                              </w:rPr>
                              <w:t>Tally</w:t>
                            </w:r>
                          </w:p>
                          <w:p w:rsidR="006D613A" w:rsidRPr="00F24730" w:rsidRDefault="006D613A" w:rsidP="006D613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F24730">
                              <w:rPr>
                                <w:b/>
                                <w:color w:val="4F81BD" w:themeColor="accent1"/>
                              </w:rPr>
                              <w:t>PERMIT NO. G-58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80.25pt;margin-top:3.3pt;width:100.15pt;height:217.3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D613A" w:rsidRPr="00F24730" w:rsidRDefault="006D613A" w:rsidP="006D613A">
                      <w:pPr>
                        <w:rPr>
                          <w:b/>
                          <w:color w:val="4F81BD" w:themeColor="accent1"/>
                        </w:rPr>
                      </w:pPr>
                      <w:r w:rsidRPr="00F24730">
                        <w:rPr>
                          <w:b/>
                          <w:color w:val="4F81BD" w:themeColor="accent1"/>
                        </w:rPr>
                        <w:t>POSTAGE &amp; FEES PAID</w:t>
                      </w:r>
                    </w:p>
                    <w:p w:rsidR="006D613A" w:rsidRPr="00F24730" w:rsidRDefault="003D06D6" w:rsidP="006D613A">
                      <w:pPr>
                        <w:rPr>
                          <w:b/>
                          <w:color w:val="4F81BD" w:themeColor="accent1"/>
                        </w:rPr>
                      </w:pPr>
                      <w:r w:rsidRPr="00F24730">
                        <w:rPr>
                          <w:b/>
                          <w:color w:val="4F81BD" w:themeColor="accent1"/>
                        </w:rPr>
                        <w:t>Agency</w:t>
                      </w:r>
                      <w:r w:rsidR="006D613A" w:rsidRPr="00F24730">
                        <w:rPr>
                          <w:b/>
                          <w:color w:val="4F81BD" w:themeColor="accent1"/>
                        </w:rPr>
                        <w:t xml:space="preserve"> of the </w:t>
                      </w:r>
                      <w:r w:rsidRPr="00F24730">
                        <w:rPr>
                          <w:b/>
                          <w:color w:val="4F81BD" w:themeColor="accent1"/>
                        </w:rPr>
                        <w:t>Tally</w:t>
                      </w:r>
                    </w:p>
                    <w:p w:rsidR="006D613A" w:rsidRPr="00F24730" w:rsidRDefault="006D613A" w:rsidP="006D613A">
                      <w:pPr>
                        <w:rPr>
                          <w:b/>
                          <w:color w:val="4F81BD" w:themeColor="accent1"/>
                        </w:rPr>
                      </w:pPr>
                      <w:r w:rsidRPr="00F24730">
                        <w:rPr>
                          <w:b/>
                          <w:color w:val="4F81BD" w:themeColor="accent1"/>
                        </w:rPr>
                        <w:t>PERMIT NO. G-58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48FA" w:rsidRPr="003640D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SALE RECORD SHEET</w:t>
      </w:r>
    </w:p>
    <w:p w:rsidR="006D613A" w:rsidRDefault="003640DD" w:rsidP="003640DD">
      <w:pPr>
        <w:tabs>
          <w:tab w:val="left" w:pos="2065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 xml:space="preserve">Sale Manager Sample August </w:t>
      </w:r>
      <w:r w:rsidR="000F323C">
        <w:t>16, 2012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Invoice Listing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Invoice 2 Buyer 101 Smith, John 08/16/2000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Lot Count Animal ID Class Animal Notes No</w:t>
      </w:r>
      <w:r w:rsidR="00CA5947">
        <w:t xml:space="preserve"> Sale </w:t>
      </w:r>
      <w:r>
        <w:t xml:space="preserve"> Price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22 1 97202 Bull No $2,200.00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5 1 9559 Bull Lot #35 No $2,300.00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6 1 9562S Bull SAR A04A of 9562 033 No $1,700.00</w:t>
      </w:r>
    </w:p>
    <w:p w:rsidR="006D613A" w:rsidRDefault="00FD5111" w:rsidP="00C60CF4">
      <w:pPr>
        <w:autoSpaceDE w:val="0"/>
        <w:autoSpaceDN w:val="0"/>
        <w:adjustRightInd w:val="0"/>
        <w:spacing w:after="0" w:line="240" w:lineRule="auto"/>
      </w:pPr>
      <w:r>
        <w:pict>
          <v:rect id="_x0000_i1025" style="width:379.9pt;height:2pt" o:hralign="center" o:hrstd="t" o:hrnoshade="t" o:hr="t" fillcolor="#1c1a10 [334]" stroked="f"/>
        </w:pic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Remarks: Check No. 4599; Deliver at earliest time available Lot Count 3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Invoice Total $6,200.00</w:t>
      </w:r>
    </w:p>
    <w:p w:rsidR="00C60CF4" w:rsidRDefault="00C60CF4" w:rsidP="00C60CF4">
      <w:pPr>
        <w:autoSpaceDE w:val="0"/>
        <w:autoSpaceDN w:val="0"/>
        <w:adjustRightInd w:val="0"/>
        <w:spacing w:after="0" w:line="240" w:lineRule="auto"/>
      </w:pPr>
      <w:r>
        <w:t>Discount $500.00</w:t>
      </w:r>
    </w:p>
    <w:p w:rsidR="006D613A" w:rsidRDefault="00FD5111" w:rsidP="00C60CF4">
      <w:pPr>
        <w:autoSpaceDE w:val="0"/>
        <w:autoSpaceDN w:val="0"/>
        <w:adjustRightInd w:val="0"/>
        <w:spacing w:after="0" w:line="240" w:lineRule="auto"/>
      </w:pPr>
      <w:r>
        <w:pict>
          <v:rect id="_x0000_i1026" style="width:379.9pt;height:2pt" o:hralign="center" o:hrstd="t" o:hrnoshade="t" o:hr="t" fillcolor="#1c1a10 [334]" stroked="f"/>
        </w:pict>
      </w:r>
    </w:p>
    <w:p w:rsidR="001B7608" w:rsidRDefault="001B7608" w:rsidP="00C60CF4">
      <w:pPr>
        <w:autoSpaceDE w:val="0"/>
        <w:autoSpaceDN w:val="0"/>
        <w:adjustRightInd w:val="0"/>
        <w:spacing w:after="0" w:line="240" w:lineRule="auto"/>
      </w:pPr>
    </w:p>
    <w:p w:rsidR="001B7608" w:rsidRDefault="001B7608" w:rsidP="00C60CF4">
      <w:pPr>
        <w:autoSpaceDE w:val="0"/>
        <w:autoSpaceDN w:val="0"/>
        <w:adjustRightInd w:val="0"/>
        <w:spacing w:after="0" w:line="240" w:lineRule="auto"/>
      </w:pPr>
    </w:p>
    <w:p w:rsidR="00BC7E7F" w:rsidRPr="00BC7E7F" w:rsidRDefault="00BC7E7F" w:rsidP="00C60CF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C7E7F">
        <w:rPr>
          <w:b/>
        </w:rPr>
        <w:t xml:space="preserve">Delivery address </w:t>
      </w:r>
    </w:p>
    <w:p w:rsidR="00BC7E7F" w:rsidRDefault="00BC7E7F" w:rsidP="00BC7E7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International Cuisine Catering </w:t>
      </w:r>
    </w:p>
    <w:p w:rsidR="00BC7E7F" w:rsidRDefault="00BC7E7F" w:rsidP="00BC7E7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2167 Old Mill Road </w:t>
      </w:r>
    </w:p>
    <w:p w:rsidR="00BC7E7F" w:rsidRDefault="00BC7E7F" w:rsidP="00BC7E7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Grayslake, IL 60030 </w:t>
      </w:r>
    </w:p>
    <w:p w:rsidR="00BC7E7F" w:rsidRDefault="00BC7E7F" w:rsidP="00C60CF4">
      <w:pPr>
        <w:autoSpaceDE w:val="0"/>
        <w:autoSpaceDN w:val="0"/>
        <w:adjustRightInd w:val="0"/>
        <w:spacing w:after="0" w:line="240" w:lineRule="auto"/>
      </w:pPr>
    </w:p>
    <w:p w:rsidR="007832A5" w:rsidRPr="00277529" w:rsidRDefault="007832A5" w:rsidP="007832A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832A5" w:rsidRPr="00277529" w:rsidRDefault="007832A5" w:rsidP="007832A5">
      <w:pPr>
        <w:rPr>
          <w:rFonts w:ascii="Times New Roman" w:hAnsi="Times New Roman" w:cs="Times New Roman"/>
          <w:sz w:val="26"/>
          <w:szCs w:val="26"/>
        </w:rPr>
      </w:pPr>
    </w:p>
    <w:p w:rsidR="001B7608" w:rsidRDefault="001B7608" w:rsidP="00C60CF4">
      <w:pPr>
        <w:autoSpaceDE w:val="0"/>
        <w:autoSpaceDN w:val="0"/>
        <w:adjustRightInd w:val="0"/>
        <w:spacing w:after="0" w:line="240" w:lineRule="auto"/>
      </w:pPr>
    </w:p>
    <w:sectPr w:rsidR="001B7608" w:rsidSect="00B0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15B"/>
    <w:multiLevelType w:val="hybridMultilevel"/>
    <w:tmpl w:val="3F4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47E4"/>
    <w:multiLevelType w:val="hybridMultilevel"/>
    <w:tmpl w:val="76D0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198D"/>
    <w:multiLevelType w:val="hybridMultilevel"/>
    <w:tmpl w:val="85E8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54"/>
    <w:rsid w:val="00067037"/>
    <w:rsid w:val="000A4080"/>
    <w:rsid w:val="000E0065"/>
    <w:rsid w:val="000F323C"/>
    <w:rsid w:val="00124D60"/>
    <w:rsid w:val="0012525A"/>
    <w:rsid w:val="00131403"/>
    <w:rsid w:val="00133C3A"/>
    <w:rsid w:val="001826D6"/>
    <w:rsid w:val="001B0408"/>
    <w:rsid w:val="001B7608"/>
    <w:rsid w:val="00231BE0"/>
    <w:rsid w:val="002454EC"/>
    <w:rsid w:val="002A2923"/>
    <w:rsid w:val="00335D9A"/>
    <w:rsid w:val="003640DD"/>
    <w:rsid w:val="003A291E"/>
    <w:rsid w:val="003D06D6"/>
    <w:rsid w:val="00414D21"/>
    <w:rsid w:val="00476EB8"/>
    <w:rsid w:val="004A249C"/>
    <w:rsid w:val="004C2D5D"/>
    <w:rsid w:val="004E1B6B"/>
    <w:rsid w:val="00511264"/>
    <w:rsid w:val="00516EEA"/>
    <w:rsid w:val="00567D2D"/>
    <w:rsid w:val="005A4696"/>
    <w:rsid w:val="005C2401"/>
    <w:rsid w:val="005C2D51"/>
    <w:rsid w:val="005C3554"/>
    <w:rsid w:val="005C4974"/>
    <w:rsid w:val="006543CF"/>
    <w:rsid w:val="00687345"/>
    <w:rsid w:val="0069491B"/>
    <w:rsid w:val="006D613A"/>
    <w:rsid w:val="006E48FA"/>
    <w:rsid w:val="00713488"/>
    <w:rsid w:val="007165F2"/>
    <w:rsid w:val="007832A5"/>
    <w:rsid w:val="007E5047"/>
    <w:rsid w:val="00895B2E"/>
    <w:rsid w:val="00975148"/>
    <w:rsid w:val="009D0B21"/>
    <w:rsid w:val="00A42AD5"/>
    <w:rsid w:val="00AF3DC4"/>
    <w:rsid w:val="00B027BD"/>
    <w:rsid w:val="00B15743"/>
    <w:rsid w:val="00B6206C"/>
    <w:rsid w:val="00B764DC"/>
    <w:rsid w:val="00BB0C6E"/>
    <w:rsid w:val="00BC559F"/>
    <w:rsid w:val="00BC7E7F"/>
    <w:rsid w:val="00C1190A"/>
    <w:rsid w:val="00C60CF4"/>
    <w:rsid w:val="00CA5947"/>
    <w:rsid w:val="00CF2E79"/>
    <w:rsid w:val="00D16A72"/>
    <w:rsid w:val="00D301F0"/>
    <w:rsid w:val="00D41205"/>
    <w:rsid w:val="00D42754"/>
    <w:rsid w:val="00DE088D"/>
    <w:rsid w:val="00E056D3"/>
    <w:rsid w:val="00E812DB"/>
    <w:rsid w:val="00E93A71"/>
    <w:rsid w:val="00E96345"/>
    <w:rsid w:val="00F02537"/>
    <w:rsid w:val="00F24730"/>
    <w:rsid w:val="00F832E9"/>
    <w:rsid w:val="00FA3FC3"/>
    <w:rsid w:val="00FB7FCA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48"/>
    <w:rPr>
      <w:b/>
      <w:bCs/>
      <w:sz w:val="20"/>
      <w:szCs w:val="20"/>
    </w:rPr>
  </w:style>
  <w:style w:type="paragraph" w:customStyle="1" w:styleId="Default">
    <w:name w:val="Default"/>
    <w:rsid w:val="00BC7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48"/>
    <w:rPr>
      <w:b/>
      <w:bCs/>
      <w:sz w:val="20"/>
      <w:szCs w:val="20"/>
    </w:rPr>
  </w:style>
  <w:style w:type="paragraph" w:customStyle="1" w:styleId="Default">
    <w:name w:val="Default"/>
    <w:rsid w:val="00BC7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AF22-16C2-493D-A537-928047D3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ksu</cp:lastModifiedBy>
  <cp:revision>2</cp:revision>
  <dcterms:created xsi:type="dcterms:W3CDTF">2014-02-19T07:02:00Z</dcterms:created>
  <dcterms:modified xsi:type="dcterms:W3CDTF">2014-02-19T07:02:00Z</dcterms:modified>
</cp:coreProperties>
</file>