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1" w:rsidRPr="00D9484A" w:rsidRDefault="00366171" w:rsidP="00366171">
      <w:pPr>
        <w:bidi/>
        <w:spacing w:line="480" w:lineRule="auto"/>
        <w:jc w:val="both"/>
        <w:rPr>
          <w:bCs/>
          <w:rtl/>
        </w:rPr>
      </w:pPr>
      <w:r w:rsidRPr="001F4C1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8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84A">
        <w:rPr>
          <w:rFonts w:hint="cs"/>
          <w:bCs/>
          <w:rtl/>
        </w:rPr>
        <w:t>جامعة الملك سعود</w:t>
      </w:r>
      <w:r w:rsidRPr="00D9484A">
        <w:rPr>
          <w:bCs/>
        </w:rPr>
        <w:t xml:space="preserve"> </w:t>
      </w:r>
      <w:r w:rsidRPr="00D9484A">
        <w:rPr>
          <w:bCs/>
        </w:rPr>
        <w:tab/>
      </w:r>
      <w:r w:rsidRPr="00D9484A">
        <w:rPr>
          <w:bCs/>
        </w:rPr>
        <w:tab/>
      </w:r>
      <w:r w:rsidRPr="00D9484A">
        <w:rPr>
          <w:bCs/>
        </w:rPr>
        <w:tab/>
      </w:r>
      <w:r w:rsidRPr="00D9484A">
        <w:rPr>
          <w:bCs/>
        </w:rPr>
        <w:tab/>
      </w:r>
      <w:r w:rsidRPr="00D9484A">
        <w:rPr>
          <w:bCs/>
        </w:rPr>
        <w:tab/>
        <w:t xml:space="preserve">   </w:t>
      </w:r>
      <w:r w:rsidRPr="00D9484A">
        <w:rPr>
          <w:bCs/>
        </w:rPr>
        <w:tab/>
      </w:r>
      <w:r w:rsidRPr="00D9484A">
        <w:rPr>
          <w:rFonts w:hint="cs"/>
          <w:bCs/>
          <w:rtl/>
        </w:rPr>
        <w:t xml:space="preserve">                              مفردات المقرر                  </w:t>
      </w:r>
    </w:p>
    <w:p w:rsidR="00366171" w:rsidRPr="00D9484A" w:rsidRDefault="00366171" w:rsidP="00366171">
      <w:pPr>
        <w:bidi/>
        <w:spacing w:line="480" w:lineRule="auto"/>
        <w:jc w:val="both"/>
        <w:rPr>
          <w:bCs/>
          <w:rtl/>
        </w:rPr>
      </w:pPr>
      <w:r w:rsidRPr="00D9484A">
        <w:rPr>
          <w:rFonts w:hint="cs"/>
          <w:bCs/>
          <w:rtl/>
        </w:rPr>
        <w:t xml:space="preserve">كلية الآداب                                                                                                              الفصل الدراسي: </w:t>
      </w:r>
      <w:r>
        <w:rPr>
          <w:rFonts w:hint="cs"/>
          <w:bCs/>
          <w:rtl/>
        </w:rPr>
        <w:t>الثاني</w:t>
      </w:r>
    </w:p>
    <w:p w:rsidR="00366171" w:rsidRPr="00D9484A" w:rsidRDefault="00366171" w:rsidP="00366171">
      <w:pPr>
        <w:bidi/>
        <w:spacing w:line="480" w:lineRule="auto"/>
        <w:jc w:val="both"/>
        <w:rPr>
          <w:bCs/>
          <w:rtl/>
        </w:rPr>
      </w:pPr>
      <w:r w:rsidRPr="00D9484A">
        <w:rPr>
          <w:bCs/>
        </w:rPr>
        <w:tab/>
      </w:r>
      <w:r w:rsidRPr="00D9484A">
        <w:rPr>
          <w:b/>
        </w:rPr>
        <w:tab/>
      </w:r>
      <w:r w:rsidRPr="00D9484A">
        <w:rPr>
          <w:b/>
        </w:rPr>
        <w:tab/>
      </w:r>
      <w:r w:rsidRPr="00D9484A">
        <w:rPr>
          <w:b/>
        </w:rPr>
        <w:tab/>
      </w:r>
      <w:r w:rsidRPr="00D9484A">
        <w:rPr>
          <w:b/>
        </w:rPr>
        <w:tab/>
      </w:r>
      <w:r w:rsidRPr="00D9484A">
        <w:rPr>
          <w:b/>
        </w:rPr>
        <w:tab/>
      </w:r>
      <w:r w:rsidRPr="00D9484A">
        <w:rPr>
          <w:b/>
        </w:rPr>
        <w:tab/>
        <w:t xml:space="preserve">                                         </w:t>
      </w:r>
      <w:r w:rsidRPr="00D9484A">
        <w:rPr>
          <w:rFonts w:hint="cs"/>
          <w:bCs/>
          <w:rtl/>
        </w:rPr>
        <w:t>السنة الدراسية: 3</w:t>
      </w:r>
      <w:r>
        <w:rPr>
          <w:rFonts w:hint="cs"/>
          <w:bCs/>
          <w:rtl/>
        </w:rPr>
        <w:t>8</w:t>
      </w:r>
      <w:r w:rsidRPr="00D9484A">
        <w:rPr>
          <w:rFonts w:hint="cs"/>
          <w:bCs/>
          <w:rtl/>
        </w:rPr>
        <w:t>-143</w:t>
      </w:r>
      <w:r>
        <w:rPr>
          <w:rFonts w:hint="cs"/>
          <w:bCs/>
          <w:rtl/>
        </w:rPr>
        <w:t>9</w:t>
      </w:r>
      <w:r w:rsidRPr="00D9484A">
        <w:rPr>
          <w:rFonts w:hint="cs"/>
          <w:bCs/>
          <w:rtl/>
        </w:rPr>
        <w:t>هـ</w:t>
      </w:r>
    </w:p>
    <w:p w:rsidR="00366171" w:rsidRPr="00D9484A" w:rsidRDefault="00366171" w:rsidP="00366171">
      <w:pPr>
        <w:bidi/>
        <w:jc w:val="both"/>
        <w:rPr>
          <w:b/>
          <w:sz w:val="28"/>
          <w:szCs w:val="28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  </w:t>
      </w:r>
      <w:r w:rsidRPr="00D9484A">
        <w:rPr>
          <w:rFonts w:ascii="Simplified Arabic" w:hAnsi="Simplified Arabic" w:cs="Simplified Arabic"/>
          <w:bCs/>
          <w:sz w:val="28"/>
          <w:szCs w:val="28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366171" w:rsidRPr="00D9484A" w:rsidTr="00DD4AB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ندى سعود الدايل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366171" w:rsidRPr="00D9484A" w:rsidTr="00DD4AB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الأحد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والثلاثاء والخميس: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من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11-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الساعات المكتبية</w:t>
            </w:r>
          </w:p>
        </w:tc>
      </w:tr>
      <w:tr w:rsidR="00366171" w:rsidRPr="00D9484A" w:rsidTr="00DD4ABE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كلية الآداب - مبنى رقم (1) الدور الثالث / قسم اللغة العربية (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131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366171" w:rsidRPr="00D9484A" w:rsidTr="00DD4AB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Cs/>
                <w:szCs w:val="24"/>
              </w:rPr>
              <w:t>nsaldayel</w:t>
            </w:r>
            <w:r w:rsidRPr="00D9484A">
              <w:rPr>
                <w:rFonts w:ascii="Simplified Arabic" w:hAnsi="Simplified Arabic" w:cs="Simplified Arabic"/>
                <w:bCs/>
                <w:szCs w:val="24"/>
              </w:rPr>
              <w:t>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عنوان البريدي الإلكتروني</w:t>
            </w:r>
          </w:p>
        </w:tc>
      </w:tr>
    </w:tbl>
    <w:p w:rsidR="00366171" w:rsidRDefault="00366171" w:rsidP="00366171">
      <w:pPr>
        <w:bidi/>
        <w:rPr>
          <w:rFonts w:ascii="Simplified Arabic" w:hAnsi="Simplified Arabic" w:cs="Simplified Arabic"/>
          <w:bCs/>
        </w:rPr>
      </w:pPr>
    </w:p>
    <w:p w:rsidR="00366171" w:rsidRPr="00D9484A" w:rsidRDefault="00366171" w:rsidP="00366171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  </w:t>
      </w:r>
      <w:r w:rsidRPr="00D9484A">
        <w:rPr>
          <w:rFonts w:ascii="Simplified Arabic" w:hAnsi="Simplified Arabic" w:cs="Simplified Arabic"/>
          <w:bCs/>
          <w:sz w:val="28"/>
          <w:szCs w:val="28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366171" w:rsidRPr="00D9484A" w:rsidTr="00DD4AB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النحو (1)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bidi/>
              <w:rPr>
                <w:rFonts w:ascii="Simplified Arabic" w:hAnsi="Simplified Arabic" w:cs="Simplified Arabic"/>
                <w:bCs/>
                <w:lang w:val="en-GB"/>
              </w:rPr>
            </w:pPr>
            <w:r w:rsidRPr="00D9484A">
              <w:rPr>
                <w:rFonts w:ascii="Simplified Arabic" w:hAnsi="Simplified Arabic" w:cs="Simplified Arabic"/>
                <w:bCs/>
                <w:rtl/>
                <w:lang w:val="en-GB"/>
              </w:rPr>
              <w:t xml:space="preserve"> اسم المقرر</w:t>
            </w:r>
          </w:p>
        </w:tc>
      </w:tr>
      <w:tr w:rsidR="00366171" w:rsidRPr="00D9484A" w:rsidTr="00DD4AB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366171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141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366171" w:rsidRPr="00D9484A" w:rsidTr="00DD4ABE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366171">
            <w:pPr>
              <w:pStyle w:val="a3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تقديم عناصر ا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ك</w:t>
            </w:r>
            <w:r>
              <w:rPr>
                <w:rFonts w:ascii="Simplified Arabic" w:hAnsi="Simplified Arabic" w:cs="Simplified Arabic" w:hint="cs"/>
                <w:bCs/>
                <w:rtl/>
              </w:rPr>
              <w:t>ت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ساب الط</w:t>
            </w:r>
            <w:r>
              <w:rPr>
                <w:rFonts w:ascii="Simplified Arabic" w:hAnsi="Simplified Arabic" w:cs="Simplified Arabic" w:hint="cs"/>
                <w:bCs/>
                <w:rtl/>
              </w:rPr>
              <w:t>ل</w:t>
            </w:r>
            <w:r>
              <w:rPr>
                <w:rFonts w:ascii="Simplified Arabic" w:hAnsi="Simplified Arabic" w:cs="Simplified Arabic"/>
                <w:bCs/>
                <w:rtl/>
              </w:rPr>
              <w:t>ا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 xml:space="preserve">ب </w:t>
            </w:r>
            <w:r>
              <w:rPr>
                <w:rFonts w:ascii="Simplified Arabic" w:hAnsi="Simplified Arabic" w:cs="Simplified Arabic"/>
                <w:bCs/>
                <w:rtl/>
              </w:rPr>
              <w:t xml:space="preserve">مهارات 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إتقان العربية 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السليم</w:t>
            </w:r>
            <w:r>
              <w:rPr>
                <w:rFonts w:ascii="Simplified Arabic" w:hAnsi="Simplified Arabic" w:cs="Simplified Arabic" w:hint="cs"/>
                <w:bCs/>
                <w:rtl/>
              </w:rPr>
              <w:t>ة اكتسابًا ذاتيًا.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.</w:t>
            </w:r>
          </w:p>
          <w:p w:rsidR="00366171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تقديم المعلومات النظرية بأسلوب شيّق وجذّاب.</w:t>
            </w:r>
          </w:p>
          <w:p w:rsidR="00366171" w:rsidRPr="00DF373B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تزويد الطلاب بحصيلة تمكنهم من إتقان مهارات العربية السليمة 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كتابة وتحدّثًا.</w:t>
            </w:r>
          </w:p>
          <w:p w:rsidR="00366171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تطبيق المعلومات النظرية في نصوص يقرؤها الطلاب ويعملونها كتابة وتحدّثًا.</w:t>
            </w:r>
          </w:p>
          <w:p w:rsidR="00366171" w:rsidRPr="009935D0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التعامل مع اللغة بصفتها حياة وواقعًا عمليًا.</w:t>
            </w:r>
          </w:p>
          <w:p w:rsidR="00366171" w:rsidRPr="00D9484A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التركيز على العناصر النحوية التي يعتريها التغير أثناء الكتابة من أسماء وأفعال داخل الجملة.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bidi/>
              <w:contextualSpacing/>
              <w:rPr>
                <w:rFonts w:ascii="Simplified Arabic" w:hAnsi="Simplified Arabic" w:cs="Simplified Arabic"/>
                <w:bCs/>
                <w:lang w:val="en-AU"/>
              </w:rPr>
            </w:pPr>
            <w:r w:rsidRPr="00D9484A">
              <w:rPr>
                <w:rFonts w:ascii="Simplified Arabic" w:hAnsi="Simplified Arabic" w:cs="Simplified Arabic"/>
                <w:bCs/>
                <w:rtl/>
                <w:lang w:val="en-AU"/>
              </w:rPr>
              <w:t xml:space="preserve"> نواتج التعلم (المنصوص عليها في توصيف المقرر)</w:t>
            </w:r>
          </w:p>
        </w:tc>
      </w:tr>
      <w:tr w:rsidR="00366171" w:rsidRPr="00D9484A" w:rsidTr="00DD4AB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366171" w:rsidRDefault="00366171" w:rsidP="00366171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شرح ابن عقيل على ألفية ابن مالك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bidi/>
              <w:rPr>
                <w:rFonts w:ascii="Simplified Arabic" w:hAnsi="Simplified Arabic" w:cs="Simplified Arabic"/>
                <w:bCs/>
              </w:rPr>
            </w:pPr>
            <w:r w:rsidRPr="00D9484A">
              <w:rPr>
                <w:rFonts w:ascii="Simplified Arabic" w:hAnsi="Simplified Arabic" w:cs="Simplified Arabic"/>
                <w:bCs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الكت</w:t>
            </w:r>
            <w:r>
              <w:rPr>
                <w:rFonts w:ascii="Simplified Arabic" w:hAnsi="Simplified Arabic" w:cs="Simplified Arabic" w:hint="cs"/>
                <w:bCs/>
                <w:rtl/>
              </w:rPr>
              <w:t>ا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ب الرئيسي</w:t>
            </w:r>
          </w:p>
        </w:tc>
      </w:tr>
      <w:tr w:rsidR="00366171" w:rsidRPr="00D9484A" w:rsidTr="00DD4AB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تدريس قواعد اللغة العربية بطريقة الخرائط المفاهيمية: رندة التوتنجي.</w:t>
            </w:r>
          </w:p>
          <w:p w:rsidR="00366171" w:rsidRDefault="00366171" w:rsidP="00366171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الخرائط المفاهيمية في القواعد النحوية والصرفية والإملائية: محمد حمادات، ومحمد عياصرة.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المراجع الأساسية</w:t>
            </w:r>
          </w:p>
        </w:tc>
      </w:tr>
      <w:tr w:rsidR="00366171" w:rsidRPr="00D9484A" w:rsidTr="00DD4AB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Default="00366171" w:rsidP="00366171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جامع الدروس العربية: مصطفى الغلاييني.</w:t>
            </w:r>
          </w:p>
          <w:p w:rsidR="00366171" w:rsidRDefault="00366171" w:rsidP="00366171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 w:hint="cs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النحو ال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أ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ساسي، 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د. أحمد مختار عمر ، د. محمد حماسة عبد اللطيف ، د.مصطفى النحاس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.</w:t>
            </w:r>
          </w:p>
          <w:p w:rsidR="00366171" w:rsidRDefault="00366171" w:rsidP="00366171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النحو الوافي: عباس حسن.</w:t>
            </w:r>
          </w:p>
          <w:p w:rsidR="00366171" w:rsidRDefault="00366171" w:rsidP="00366171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النحو التطبيقي: عبده الراجحي.</w:t>
            </w:r>
          </w:p>
          <w:p w:rsidR="00366171" w:rsidRPr="00D9484A" w:rsidRDefault="00366171" w:rsidP="00366171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التدريبات اللغوية والقواعد النحوية: 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د. أحمد مختار عمر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وأخرون.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المراجع التكميلية (إن</w:t>
            </w:r>
          </w:p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وجد)</w:t>
            </w:r>
          </w:p>
        </w:tc>
      </w:tr>
    </w:tbl>
    <w:p w:rsidR="00366171" w:rsidRDefault="00366171" w:rsidP="00366171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  </w:t>
      </w:r>
    </w:p>
    <w:p w:rsid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</w:p>
    <w:p w:rsid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</w:p>
    <w:p w:rsid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</w:p>
    <w:p w:rsid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</w:p>
    <w:p w:rsid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</w:p>
    <w:p w:rsidR="00366171" w:rsidRPr="00366171" w:rsidRDefault="00366171" w:rsidP="00366171">
      <w:p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</w:p>
    <w:p w:rsidR="00366171" w:rsidRDefault="00366171" w:rsidP="00366171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  <w:r w:rsidRPr="00D9484A">
        <w:rPr>
          <w:rFonts w:ascii="Simplified Arabic" w:hAnsi="Simplified Arabic" w:cs="Simplified Arabic"/>
          <w:bCs/>
          <w:sz w:val="28"/>
          <w:szCs w:val="28"/>
          <w:rtl/>
        </w:rPr>
        <w:lastRenderedPageBreak/>
        <w:t>الخطة الأسبوعية:</w:t>
      </w:r>
    </w:p>
    <w:tbl>
      <w:tblPr>
        <w:bidiVisual/>
        <w:tblW w:w="9601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804"/>
        <w:gridCol w:w="1521"/>
      </w:tblGrid>
      <w:tr w:rsidR="00366171" w:rsidRPr="00A91BDF" w:rsidTr="00DD4ABE">
        <w:trPr>
          <w:trHeight w:val="657"/>
        </w:trPr>
        <w:tc>
          <w:tcPr>
            <w:tcW w:w="1276" w:type="dxa"/>
            <w:shd w:val="clear" w:color="auto" w:fill="D9D9D9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EG"/>
              </w:rPr>
            </w:pPr>
            <w:r w:rsidRPr="00A91B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EG"/>
              </w:rPr>
              <w:t>الأسبوع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A91B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A91B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366171" w:rsidRPr="00A91BDF" w:rsidTr="00DD4ABE">
        <w:trPr>
          <w:trHeight w:val="1170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الأول</w:t>
            </w:r>
          </w:p>
        </w:tc>
        <w:tc>
          <w:tcPr>
            <w:tcW w:w="6804" w:type="dxa"/>
            <w:vAlign w:val="center"/>
          </w:tcPr>
          <w:p w:rsidR="00366171" w:rsidRPr="00AF61E1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F61E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-التعريف بعلم النحو، ونشأته، وتطوره ، وأشهر المؤلفات فيه.</w:t>
            </w:r>
          </w:p>
          <w:p w:rsidR="00366171" w:rsidRPr="00AF61E1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F61E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بيان أهمية دراسة النحو .</w:t>
            </w:r>
          </w:p>
          <w:p w:rsidR="00366171" w:rsidRPr="000C47FB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AF61E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مقدمة في التعريف بالمقرر  ، ومفرداته، وطريقة الشرح ووسائله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1473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الثاني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-تعريف الكلمة وبيان أقسامها.</w:t>
            </w:r>
          </w:p>
          <w:p w:rsidR="00366171" w:rsidRPr="00A91BDF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-الفرق بين الكلمة، والكلام، والكلم، والقول.</w:t>
            </w:r>
          </w:p>
          <w:p w:rsidR="00366171" w:rsidRPr="00A91BDF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تعريف الاسم والفعل والحرف وبيان علاماتها.</w:t>
            </w:r>
          </w:p>
          <w:p w:rsidR="00366171" w:rsidRPr="00A91BDF" w:rsidRDefault="00366171" w:rsidP="00DD4ABE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تقسيم الحرف إلى مختص وغير مختص, وأنواع الحروف المختصة وعملها.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2936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الثالث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المعرب والمبني وبيان الفرق بينهما.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-تقسيم المعرب إلى متمكن أمكن ومتمكن غير أمكن.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-المبني من الأسماء وكيفية إعرابه.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الضمائر، أسماء الإشارة، الأسماء الموصولة، أسماء الشرط، أسماء الاستفهام، أسماء الأفعال، بعض الظروف مثل : (حيث ) و(إذ).</w:t>
            </w:r>
          </w:p>
          <w:p w:rsidR="00366171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المبني من الأفعال، وحركات بنائه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-</w:t>
            </w: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الفعل المضارع بين الإعراب والبناء.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2255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360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الرابع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ind w:left="36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الإعراب : أنواعه وعلاماته الأصلية ، وما تدخله من الأسماء والأفعال.</w:t>
            </w:r>
          </w:p>
          <w:p w:rsidR="00366171" w:rsidRPr="00A91BDF" w:rsidRDefault="00366171" w:rsidP="00DD4ABE">
            <w:pPr>
              <w:bidi/>
              <w:ind w:left="36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ما يعرب بعلامات فرعية.</w:t>
            </w:r>
          </w:p>
          <w:p w:rsidR="00366171" w:rsidRPr="00A91BDF" w:rsidRDefault="00366171" w:rsidP="00DD4ABE">
            <w:pPr>
              <w:bidi/>
              <w:ind w:left="360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</w:t>
            </w: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سماء الستة : تعدادها، إعرابها بالحروف نيابة عن الحركات, وشروط ذلك.</w:t>
            </w:r>
          </w:p>
          <w:p w:rsidR="00366171" w:rsidRPr="00A91BDF" w:rsidRDefault="00366171" w:rsidP="00DD4ABE">
            <w:pPr>
              <w:bidi/>
              <w:ind w:left="36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اللغات الواردة في الأسماء الستة.</w:t>
            </w:r>
          </w:p>
          <w:p w:rsidR="00366171" w:rsidRPr="00A91BDF" w:rsidRDefault="00366171" w:rsidP="00DD4ABE">
            <w:pPr>
              <w:bidi/>
              <w:ind w:left="36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إعراب المثنى والملحق به.</w:t>
            </w:r>
          </w:p>
          <w:p w:rsidR="00366171" w:rsidRPr="00A91BDF" w:rsidRDefault="00366171" w:rsidP="00DD4ABE">
            <w:pPr>
              <w:bidi/>
              <w:ind w:left="36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-إعراب (كلا وكلتا) إعراب المثنى والمقصور.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3399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الخامس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-إعراب جمع المذكر السالم والملحق به 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-شروط ما يُجمع جمع مذكر سالما, وإعرابه.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-الألفاظ الملحقة بجمع المذكر السالم.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-الفرق بين نوني المثنى وجمع المذكر السالم.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-حذف نون جمع المذكر السالم.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-جمع المؤنث السالم.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-الفرق بين ما يُج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مع بالألف والتاء وما خُتم بتاء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صلية من جمع التكسير </w:t>
            </w: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.</w:t>
            </w:r>
          </w:p>
          <w:p w:rsidR="00366171" w:rsidRPr="004842B4" w:rsidRDefault="00366171" w:rsidP="00DD4ABE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-خاتمة في التعريف بجمع التكسير وبيان إعرابه بالعلامات الأصلية.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66171" w:rsidRPr="00A91BDF" w:rsidTr="00DD4ABE">
        <w:trPr>
          <w:trHeight w:val="2405"/>
        </w:trPr>
        <w:tc>
          <w:tcPr>
            <w:tcW w:w="1276" w:type="dxa"/>
            <w:vMerge w:val="restart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السادس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-إعراب الممنوع من الصرف.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معنى الصرف.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-شرط جر الممنوع من الصرف بالفتحة.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-ما يُمنع من الصرف لعلة واحدة, ولعلتين.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الأفعال الخمسة: بيان المقصود بها، وإعرابها بعلامات فرعية.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413"/>
        </w:trPr>
        <w:tc>
          <w:tcPr>
            <w:tcW w:w="1276" w:type="dxa"/>
            <w:vMerge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4842B4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66171" w:rsidRPr="00A91BDF" w:rsidTr="00DD4ABE">
        <w:trPr>
          <w:trHeight w:val="1965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السابع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أدوات نصب المضارع وعلامات نصبه.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-أدوات جزم المضارع وعلامات جزمه.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-رفع الفعل المضارع وعلامات رفعه.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-إعراب المعتل من الأفعال.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-إعراب الأفعال المعتلة.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1253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الثامن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إعراب المعتل من الأسماء ،والاسم الممدود.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-التعريف بالاسم المقصور والمنقوص وب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يان سبب التسمية وكيفية الإعراب.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2882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النكرة والمعرفة.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-الفرق بين التعريف والتنكير.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-أنواع المعرفة.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-الضمير : تعريفه، وأنواعه، وكيفية إعرابه.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-الضمير وتقسيماته( بارز: منفصل, متصل/ مستتر), (ضمير رفع/ ضمير نصب), (ضمير متكلم, مخاطب, غائب).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-ما يصلح أن يكون في محل نصب وجر من الضمائر المتصلة.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-ضمير الفصل: تعريفه، شروطه، مواضعه، إعرابه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2207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العاشر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العلم ، تعريفه، أقسامه(اسم وكنية ولقب), أنواعه.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-وجوه الإعراب الجائزة عند اجتماع الاسم والكنية واللقب.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-اسم الإشارة وبيان إعرابه.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-ما يُشار به إلى المفرد و المثنى والجمع مذكرًا ومؤنثا.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الإشار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ة إلى المكان.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66171" w:rsidRPr="00A91BDF" w:rsidTr="00DD4ABE">
        <w:trPr>
          <w:trHeight w:val="1188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804" w:type="dxa"/>
            <w:vAlign w:val="center"/>
          </w:tcPr>
          <w:p w:rsidR="00366171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</w:t>
            </w: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الاسم الموصول وبيان إعرابه.</w:t>
            </w:r>
          </w:p>
          <w:p w:rsidR="00366171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-الموصول الاسمي والحرفي.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موصولات الاسمية العامة والخاصة.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1836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6804" w:type="dxa"/>
            <w:vAlign w:val="center"/>
          </w:tcPr>
          <w:p w:rsidR="00366171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-شروط ما يقع صلة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، و أحواله</w:t>
            </w: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-المعرف بالأداة.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-المعاني التي تأتي لها (ال).</w:t>
            </w:r>
          </w:p>
          <w:p w:rsidR="00366171" w:rsidRPr="00A91BDF" w:rsidRDefault="00366171" w:rsidP="00DD4AB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-المعرّف بالإضافة.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66171" w:rsidRPr="00A91BDF" w:rsidTr="00DD4ABE">
        <w:trPr>
          <w:trHeight w:val="1716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المبتدأ والخبر.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-ما يصلح أن يكون مبتدأ.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-المبتدأ قسمان : مبتدأ له خبر، ومبتدأ، له مرفوع سدّ مسدّ الخبر.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-رافع المبتدأ والخبر.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 تعريف الخبر وبيان أنواعه.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366171" w:rsidRPr="00A91BDF" w:rsidTr="00DD4ABE">
        <w:trPr>
          <w:trHeight w:val="1428"/>
        </w:trPr>
        <w:tc>
          <w:tcPr>
            <w:tcW w:w="1276" w:type="dxa"/>
            <w:textDirection w:val="tbRl"/>
            <w:vAlign w:val="center"/>
          </w:tcPr>
          <w:p w:rsidR="00366171" w:rsidRPr="00A91BDF" w:rsidRDefault="00366171" w:rsidP="00DD4ABE">
            <w:pPr>
              <w:bidi/>
              <w:spacing w:line="276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lastRenderedPageBreak/>
              <w:t>الرابع عشر</w:t>
            </w:r>
          </w:p>
        </w:tc>
        <w:tc>
          <w:tcPr>
            <w:tcW w:w="6804" w:type="dxa"/>
            <w:vAlign w:val="center"/>
          </w:tcPr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جواز حذف المبتدأ أو الخبر إذا دلّ دليل على المحذوف.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-المواضع التي يُحذف فيها المبتدأ, والخبر.</w:t>
            </w:r>
          </w:p>
          <w:p w:rsidR="00366171" w:rsidRPr="00A91BDF" w:rsidRDefault="00366171" w:rsidP="00DD4AB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-تقديم الخبر على المبتدأ.</w:t>
            </w:r>
          </w:p>
          <w:p w:rsidR="00366171" w:rsidRPr="00A91BDF" w:rsidRDefault="00366171" w:rsidP="00DD4AB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-تعدد الخبر.</w:t>
            </w:r>
          </w:p>
        </w:tc>
        <w:tc>
          <w:tcPr>
            <w:tcW w:w="1521" w:type="dxa"/>
            <w:vAlign w:val="center"/>
          </w:tcPr>
          <w:p w:rsidR="00366171" w:rsidRPr="00A91BDF" w:rsidRDefault="00366171" w:rsidP="00DD4AB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91BD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:rsidR="00366171" w:rsidRPr="00D9484A" w:rsidRDefault="00366171" w:rsidP="00366171">
      <w:pPr>
        <w:pStyle w:val="FreeForm"/>
        <w:bidi/>
        <w:ind w:left="5"/>
        <w:rPr>
          <w:rFonts w:ascii="Simplified Arabic" w:hAnsi="Simplified Arabic" w:cs="Simplified Arabic"/>
          <w:bCs/>
          <w:color w:val="auto"/>
          <w:sz w:val="24"/>
          <w:szCs w:val="24"/>
        </w:rPr>
      </w:pPr>
    </w:p>
    <w:p w:rsidR="00366171" w:rsidRPr="00D9484A" w:rsidRDefault="00366171" w:rsidP="00366171">
      <w:pPr>
        <w:pStyle w:val="FreeFormB"/>
        <w:bidi/>
        <w:ind w:left="108"/>
        <w:rPr>
          <w:rFonts w:ascii="Simplified Arabic" w:hAnsi="Simplified Arabic" w:cs="Simplified Arabic"/>
          <w:bCs/>
          <w:color w:val="auto"/>
          <w:sz w:val="24"/>
          <w:szCs w:val="24"/>
        </w:rPr>
      </w:pPr>
    </w:p>
    <w:p w:rsidR="00366171" w:rsidRPr="00D9484A" w:rsidRDefault="00366171" w:rsidP="00366171">
      <w:pPr>
        <w:bidi/>
        <w:rPr>
          <w:rFonts w:ascii="Simplified Arabic" w:hAnsi="Simplified Arabic" w:cs="Simplified Arabic"/>
          <w:bCs/>
          <w:sz w:val="28"/>
          <w:szCs w:val="28"/>
        </w:rPr>
      </w:pPr>
      <w:r w:rsidRPr="00D9484A">
        <w:rPr>
          <w:rFonts w:ascii="Simplified Arabic" w:hAnsi="Simplified Arabic" w:cs="Simplified Arabic"/>
          <w:bCs/>
          <w:sz w:val="28"/>
          <w:szCs w:val="28"/>
          <w:rtl/>
        </w:rPr>
        <w:t>طرق التقييم:</w:t>
      </w:r>
    </w:p>
    <w:tbl>
      <w:tblPr>
        <w:tblW w:w="12743" w:type="dxa"/>
        <w:tblInd w:w="998" w:type="dxa"/>
        <w:tblLayout w:type="fixed"/>
        <w:tblLook w:val="0000"/>
      </w:tblPr>
      <w:tblGrid>
        <w:gridCol w:w="2137"/>
        <w:gridCol w:w="1843"/>
        <w:gridCol w:w="3958"/>
        <w:gridCol w:w="4805"/>
      </w:tblGrid>
      <w:tr w:rsidR="00366171" w:rsidRPr="00D9484A" w:rsidTr="00DD4ABE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366171" w:rsidRPr="00D9484A" w:rsidTr="00DD4ABE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11/6/1439هـ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الاختبار الفصلي الأول</w:t>
            </w:r>
          </w:p>
        </w:tc>
      </w:tr>
      <w:tr w:rsidR="00366171" w:rsidRPr="00D9484A" w:rsidTr="00DD4ABE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22/7/1439هـ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 الفصلي الثاني  </w:t>
            </w:r>
          </w:p>
        </w:tc>
      </w:tr>
      <w:tr w:rsidR="00366171" w:rsidRPr="00D9484A" w:rsidTr="00DD4ABE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Pr="00D9484A" w:rsidRDefault="00366171" w:rsidP="00DD4AB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10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المشاركة وتكليفات متنوعة فردي وجماعي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366171" w:rsidRPr="00D9484A" w:rsidTr="00DD4ABE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Default="00366171" w:rsidP="00DD4AB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171" w:rsidRDefault="00366171" w:rsidP="00DD4AB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Default="00366171" w:rsidP="00DD4ABE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الساعة العملية</w:t>
            </w:r>
          </w:p>
        </w:tc>
      </w:tr>
      <w:tr w:rsidR="00366171" w:rsidRPr="00D9484A" w:rsidTr="00DD4ABE">
        <w:trPr>
          <w:gridAfter w:val="1"/>
          <w:wAfter w:w="4805" w:type="dxa"/>
          <w:cantSplit/>
          <w:trHeight w:val="45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40%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366171" w:rsidRPr="00D9484A" w:rsidTr="00DD4ABE">
        <w:trPr>
          <w:cantSplit/>
          <w:trHeight w:val="45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171" w:rsidRPr="00D9484A" w:rsidRDefault="00366171" w:rsidP="00DD4ABE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لا يعاد الاختبار الفصلي للطالبة التي لن تحضره إلا بعد موافقة لجنة من الشؤون الأكاديمية.</w:t>
            </w:r>
          </w:p>
        </w:tc>
        <w:tc>
          <w:tcPr>
            <w:tcW w:w="4805" w:type="dxa"/>
          </w:tcPr>
          <w:p w:rsidR="00366171" w:rsidRPr="00D9484A" w:rsidRDefault="00366171" w:rsidP="00DD4ABE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</w:tbl>
    <w:p w:rsidR="00366171" w:rsidRPr="00D9484A" w:rsidRDefault="00366171" w:rsidP="00366171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  <w:r w:rsidRPr="00D9484A">
        <w:rPr>
          <w:rFonts w:ascii="Simplified Arabic" w:hAnsi="Simplified Arabic" w:cs="Simplified Arabic"/>
          <w:bCs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</w:t>
      </w:r>
    </w:p>
    <w:p w:rsidR="00366171" w:rsidRPr="00D9484A" w:rsidRDefault="00366171" w:rsidP="00366171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 w:hint="cs"/>
          <w:bCs/>
          <w:sz w:val="24"/>
          <w:szCs w:val="24"/>
          <w:u w:val="single"/>
          <w:lang w:bidi="ar-SA"/>
        </w:rPr>
      </w:pPr>
    </w:p>
    <w:sectPr w:rsidR="00366171" w:rsidRPr="00D9484A" w:rsidSect="00273B6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CC" w:rsidRDefault="00B31CCC" w:rsidP="00EB0F6C">
      <w:r>
        <w:separator/>
      </w:r>
    </w:p>
  </w:endnote>
  <w:endnote w:type="continuationSeparator" w:id="1">
    <w:p w:rsidR="00B31CCC" w:rsidRDefault="00B31CCC" w:rsidP="00EB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B31CCC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B31CCC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CC" w:rsidRDefault="00B31CCC" w:rsidP="00EB0F6C">
      <w:r>
        <w:separator/>
      </w:r>
    </w:p>
  </w:footnote>
  <w:footnote w:type="continuationSeparator" w:id="1">
    <w:p w:rsidR="00B31CCC" w:rsidRDefault="00B31CCC" w:rsidP="00EB0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B31CCC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B31CCC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E6B"/>
    <w:multiLevelType w:val="hybridMultilevel"/>
    <w:tmpl w:val="B1C456B4"/>
    <w:lvl w:ilvl="0" w:tplc="50F421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2FD9"/>
    <w:multiLevelType w:val="hybridMultilevel"/>
    <w:tmpl w:val="C51A30A2"/>
    <w:lvl w:ilvl="0" w:tplc="DE5E4008">
      <w:numFmt w:val="bullet"/>
      <w:lvlText w:val="-"/>
      <w:lvlJc w:val="left"/>
      <w:pPr>
        <w:ind w:left="720" w:hanging="360"/>
      </w:pPr>
      <w:rPr>
        <w:rFonts w:ascii="Traditional Arabic" w:eastAsia="ヒラギノ角ゴ Pro W3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154F"/>
    <w:multiLevelType w:val="hybridMultilevel"/>
    <w:tmpl w:val="4CFE23CA"/>
    <w:lvl w:ilvl="0" w:tplc="8AC2A63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0B7"/>
    <w:rsid w:val="000169A3"/>
    <w:rsid w:val="00024835"/>
    <w:rsid w:val="00060534"/>
    <w:rsid w:val="00070B60"/>
    <w:rsid w:val="000843CF"/>
    <w:rsid w:val="000A7246"/>
    <w:rsid w:val="000A7797"/>
    <w:rsid w:val="000B76EF"/>
    <w:rsid w:val="00104AD6"/>
    <w:rsid w:val="00117BA0"/>
    <w:rsid w:val="00126846"/>
    <w:rsid w:val="001B56B9"/>
    <w:rsid w:val="00205101"/>
    <w:rsid w:val="00210EB5"/>
    <w:rsid w:val="002128BB"/>
    <w:rsid w:val="00234FA1"/>
    <w:rsid w:val="002372AE"/>
    <w:rsid w:val="00240A9E"/>
    <w:rsid w:val="00254825"/>
    <w:rsid w:val="00255B10"/>
    <w:rsid w:val="002D38EC"/>
    <w:rsid w:val="00305975"/>
    <w:rsid w:val="00333C60"/>
    <w:rsid w:val="00337E46"/>
    <w:rsid w:val="00366171"/>
    <w:rsid w:val="00386CCB"/>
    <w:rsid w:val="00397B96"/>
    <w:rsid w:val="003D1CC1"/>
    <w:rsid w:val="003E00DB"/>
    <w:rsid w:val="003E70C7"/>
    <w:rsid w:val="003F0F2D"/>
    <w:rsid w:val="00406569"/>
    <w:rsid w:val="00414DB0"/>
    <w:rsid w:val="004154F8"/>
    <w:rsid w:val="00445563"/>
    <w:rsid w:val="00477B5D"/>
    <w:rsid w:val="004E71ED"/>
    <w:rsid w:val="004F160C"/>
    <w:rsid w:val="00517623"/>
    <w:rsid w:val="00550B50"/>
    <w:rsid w:val="00567FD4"/>
    <w:rsid w:val="00587675"/>
    <w:rsid w:val="005A314E"/>
    <w:rsid w:val="005B6721"/>
    <w:rsid w:val="005C013C"/>
    <w:rsid w:val="005C5FCD"/>
    <w:rsid w:val="005D15A0"/>
    <w:rsid w:val="005E1ED6"/>
    <w:rsid w:val="005F49A9"/>
    <w:rsid w:val="00632793"/>
    <w:rsid w:val="006369D6"/>
    <w:rsid w:val="006716B4"/>
    <w:rsid w:val="006D3752"/>
    <w:rsid w:val="006E71CB"/>
    <w:rsid w:val="006F39CE"/>
    <w:rsid w:val="00784DD6"/>
    <w:rsid w:val="007B4FCB"/>
    <w:rsid w:val="007B63C8"/>
    <w:rsid w:val="007D7C4A"/>
    <w:rsid w:val="00822CE6"/>
    <w:rsid w:val="00861DC3"/>
    <w:rsid w:val="008753CC"/>
    <w:rsid w:val="00881D4D"/>
    <w:rsid w:val="008B3107"/>
    <w:rsid w:val="008F10B7"/>
    <w:rsid w:val="00922E17"/>
    <w:rsid w:val="0094291E"/>
    <w:rsid w:val="00953F77"/>
    <w:rsid w:val="00963511"/>
    <w:rsid w:val="00973D52"/>
    <w:rsid w:val="00982A75"/>
    <w:rsid w:val="00990A21"/>
    <w:rsid w:val="009916DB"/>
    <w:rsid w:val="009A5CED"/>
    <w:rsid w:val="009A6B02"/>
    <w:rsid w:val="009C4BBE"/>
    <w:rsid w:val="009C69D3"/>
    <w:rsid w:val="009F6D2B"/>
    <w:rsid w:val="00A0321C"/>
    <w:rsid w:val="00A13496"/>
    <w:rsid w:val="00A27EF5"/>
    <w:rsid w:val="00A6278A"/>
    <w:rsid w:val="00A63664"/>
    <w:rsid w:val="00AA2ABB"/>
    <w:rsid w:val="00AB5332"/>
    <w:rsid w:val="00AD5CEB"/>
    <w:rsid w:val="00AF4BA1"/>
    <w:rsid w:val="00B132AC"/>
    <w:rsid w:val="00B2207E"/>
    <w:rsid w:val="00B249F5"/>
    <w:rsid w:val="00B31CCC"/>
    <w:rsid w:val="00B542CB"/>
    <w:rsid w:val="00B64FEA"/>
    <w:rsid w:val="00B71E75"/>
    <w:rsid w:val="00B83E9E"/>
    <w:rsid w:val="00B95941"/>
    <w:rsid w:val="00BB48F7"/>
    <w:rsid w:val="00BC41BD"/>
    <w:rsid w:val="00BE263F"/>
    <w:rsid w:val="00BF70B1"/>
    <w:rsid w:val="00BF781A"/>
    <w:rsid w:val="00C20B85"/>
    <w:rsid w:val="00C2153D"/>
    <w:rsid w:val="00C221E4"/>
    <w:rsid w:val="00C51C20"/>
    <w:rsid w:val="00C55A26"/>
    <w:rsid w:val="00C743AF"/>
    <w:rsid w:val="00CA0E18"/>
    <w:rsid w:val="00CB571F"/>
    <w:rsid w:val="00CC7561"/>
    <w:rsid w:val="00CF43E5"/>
    <w:rsid w:val="00D20E85"/>
    <w:rsid w:val="00D25560"/>
    <w:rsid w:val="00D323B7"/>
    <w:rsid w:val="00D360CD"/>
    <w:rsid w:val="00D626F1"/>
    <w:rsid w:val="00D71E08"/>
    <w:rsid w:val="00D97F18"/>
    <w:rsid w:val="00DF2EE3"/>
    <w:rsid w:val="00E130E0"/>
    <w:rsid w:val="00E25623"/>
    <w:rsid w:val="00E27803"/>
    <w:rsid w:val="00E603A1"/>
    <w:rsid w:val="00E61E12"/>
    <w:rsid w:val="00E64034"/>
    <w:rsid w:val="00E73D0F"/>
    <w:rsid w:val="00E831FA"/>
    <w:rsid w:val="00E901C3"/>
    <w:rsid w:val="00E9023B"/>
    <w:rsid w:val="00EB0F6C"/>
    <w:rsid w:val="00ED7105"/>
    <w:rsid w:val="00F00BF6"/>
    <w:rsid w:val="00F01861"/>
    <w:rsid w:val="00F06404"/>
    <w:rsid w:val="00F06BFD"/>
    <w:rsid w:val="00F16CE0"/>
    <w:rsid w:val="00F66968"/>
    <w:rsid w:val="00F87A70"/>
    <w:rsid w:val="00F87CD0"/>
    <w:rsid w:val="00F964DC"/>
    <w:rsid w:val="00FA0E28"/>
    <w:rsid w:val="00FA26CD"/>
    <w:rsid w:val="00FC5316"/>
    <w:rsid w:val="00F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8F10B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8F10B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8F10B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8F10B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8F10B7"/>
    <w:pPr>
      <w:spacing w:after="200" w:line="276" w:lineRule="auto"/>
      <w:ind w:left="720"/>
      <w:contextualSpacing/>
    </w:pPr>
    <w:rPr>
      <w:sz w:val="22"/>
      <w:szCs w:val="22"/>
      <w:lang w:bidi="en-US"/>
    </w:rPr>
  </w:style>
  <w:style w:type="paragraph" w:styleId="a3">
    <w:name w:val="List Paragraph"/>
    <w:basedOn w:val="a"/>
    <w:uiPriority w:val="34"/>
    <w:qFormat/>
    <w:rsid w:val="008F10B7"/>
    <w:pPr>
      <w:ind w:left="720"/>
      <w:contextualSpacing/>
    </w:pPr>
    <w:rPr>
      <w:rFonts w:ascii="Lucida Grande" w:eastAsia="ヒラギノ角ゴ Pro W3" w:hAnsi="Lucida Grande"/>
      <w:color w:val="000000"/>
    </w:rPr>
  </w:style>
  <w:style w:type="paragraph" w:styleId="a4">
    <w:name w:val="Balloon Text"/>
    <w:basedOn w:val="a"/>
    <w:link w:val="Char"/>
    <w:uiPriority w:val="99"/>
    <w:semiHidden/>
    <w:unhideWhenUsed/>
    <w:rsid w:val="008F10B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F1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2017-10-09T12:43:00Z</cp:lastPrinted>
  <dcterms:created xsi:type="dcterms:W3CDTF">2018-03-11T17:50:00Z</dcterms:created>
  <dcterms:modified xsi:type="dcterms:W3CDTF">2018-03-11T17:50:00Z</dcterms:modified>
</cp:coreProperties>
</file>