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4" w:rsidRDefault="007E6AD4" w:rsidP="007E6AD4">
      <w:pPr>
        <w:jc w:val="center"/>
        <w:rPr>
          <w:rFonts w:cs="Mudir MT" w:hint="cs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Mudir MT" w:hint="cs"/>
          <w:b/>
          <w:bCs/>
          <w:sz w:val="20"/>
          <w:szCs w:val="20"/>
          <w:rtl/>
        </w:rPr>
        <w:t xml:space="preserve">استراتيجيات 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التدريس و التعلم في مجال صعوبات التعلم ال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قراءة</w:t>
      </w:r>
    </w:p>
    <w:p w:rsidR="007E6AD4" w:rsidRDefault="007E6AD4" w:rsidP="007E6AD4">
      <w:pPr>
        <w:jc w:val="center"/>
        <w:rPr>
          <w:rFonts w:cs="Mudir MT" w:hint="cs"/>
          <w:b/>
          <w:bCs/>
          <w:color w:val="FF0000"/>
          <w:sz w:val="20"/>
          <w:szCs w:val="20"/>
          <w:u w:val="single"/>
          <w:rtl/>
        </w:rPr>
      </w:pPr>
      <w:r>
        <w:rPr>
          <w:rFonts w:cs="Mudir MT" w:hint="cs"/>
          <w:b/>
          <w:bCs/>
          <w:color w:val="FF0000"/>
          <w:sz w:val="20"/>
          <w:szCs w:val="20"/>
          <w:u w:val="single"/>
          <w:rtl/>
        </w:rPr>
        <w:t>42</w:t>
      </w:r>
      <w:r>
        <w:rPr>
          <w:rFonts w:cs="Mudir MT" w:hint="cs"/>
          <w:b/>
          <w:bCs/>
          <w:color w:val="FF0000"/>
          <w:sz w:val="20"/>
          <w:szCs w:val="20"/>
          <w:u w:val="single"/>
          <w:rtl/>
        </w:rPr>
        <w:t>1</w:t>
      </w:r>
      <w:r>
        <w:rPr>
          <w:rFonts w:cs="Mudir MT" w:hint="cs"/>
          <w:b/>
          <w:bCs/>
          <w:color w:val="FF0000"/>
          <w:sz w:val="20"/>
          <w:szCs w:val="20"/>
          <w:u w:val="single"/>
          <w:rtl/>
        </w:rPr>
        <w:t xml:space="preserve"> خاص</w:t>
      </w:r>
    </w:p>
    <w:p w:rsidR="007E6AD4" w:rsidRDefault="007E6AD4" w:rsidP="007E6AD4">
      <w:pPr>
        <w:rPr>
          <w:rFonts w:ascii="Traditional Arabic" w:hAnsi="Traditional Arabic" w:cs="Mudir MT" w:hint="cs"/>
          <w:sz w:val="20"/>
          <w:szCs w:val="20"/>
          <w:rtl/>
        </w:rPr>
      </w:pPr>
      <w:r>
        <w:rPr>
          <w:rFonts w:ascii="Traditional Arabic" w:hAnsi="Traditional Arabic" w:cs="Mudir MT" w:hint="cs"/>
          <w:b/>
          <w:bCs/>
          <w:color w:val="00B050"/>
          <w:sz w:val="20"/>
          <w:szCs w:val="20"/>
          <w:rtl/>
        </w:rPr>
        <w:t>استاذ المقرر</w:t>
      </w:r>
      <w:r>
        <w:rPr>
          <w:rFonts w:ascii="Traditional Arabic" w:hAnsi="Traditional Arabic" w:cs="Mudir MT" w:hint="cs"/>
          <w:color w:val="00B050"/>
          <w:sz w:val="20"/>
          <w:szCs w:val="20"/>
          <w:rtl/>
        </w:rPr>
        <w:t xml:space="preserve"> : </w:t>
      </w:r>
      <w:r>
        <w:rPr>
          <w:rFonts w:ascii="Traditional Arabic" w:hAnsi="Traditional Arabic" w:cs="Mudir MT" w:hint="cs"/>
          <w:sz w:val="20"/>
          <w:szCs w:val="20"/>
          <w:rtl/>
        </w:rPr>
        <w:t>منى المحيا</w:t>
      </w:r>
    </w:p>
    <w:p w:rsidR="007E6AD4" w:rsidRDefault="007E6AD4" w:rsidP="007E6AD4">
      <w:pPr>
        <w:rPr>
          <w:rFonts w:ascii="Traditional Arabic" w:hAnsi="Traditional Arabic" w:cs="Mudir MT" w:hint="cs"/>
          <w:sz w:val="20"/>
          <w:szCs w:val="20"/>
          <w:rtl/>
        </w:rPr>
      </w:pPr>
      <w:r>
        <w:rPr>
          <w:rFonts w:ascii="Traditional Arabic" w:hAnsi="Traditional Arabic" w:cs="Mudir MT" w:hint="cs"/>
          <w:b/>
          <w:bCs/>
          <w:color w:val="00B050"/>
          <w:sz w:val="20"/>
          <w:szCs w:val="20"/>
          <w:rtl/>
        </w:rPr>
        <w:t>عدد ساعات المقرر</w:t>
      </w:r>
      <w:r>
        <w:rPr>
          <w:rFonts w:ascii="Traditional Arabic" w:hAnsi="Traditional Arabic" w:cs="Mudir MT" w:hint="cs"/>
          <w:color w:val="00B050"/>
          <w:sz w:val="20"/>
          <w:szCs w:val="20"/>
          <w:rtl/>
        </w:rPr>
        <w:t xml:space="preserve"> : </w:t>
      </w:r>
      <w:r>
        <w:rPr>
          <w:rFonts w:ascii="Traditional Arabic" w:hAnsi="Traditional Arabic" w:cs="Mudir MT" w:hint="cs"/>
          <w:sz w:val="20"/>
          <w:szCs w:val="20"/>
          <w:rtl/>
        </w:rPr>
        <w:t>3 ساعات</w:t>
      </w:r>
    </w:p>
    <w:p w:rsidR="007E6AD4" w:rsidRDefault="007E6AD4" w:rsidP="007E6AD4">
      <w:pPr>
        <w:rPr>
          <w:rFonts w:ascii="Traditional Arabic" w:hAnsi="Traditional Arabic" w:cs="Mudir MT" w:hint="cs"/>
          <w:sz w:val="20"/>
          <w:szCs w:val="20"/>
          <w:rtl/>
        </w:rPr>
      </w:pPr>
      <w:r>
        <w:rPr>
          <w:rFonts w:ascii="Traditional Arabic" w:hAnsi="Traditional Arabic" w:cs="Mudir MT" w:hint="cs"/>
          <w:b/>
          <w:bCs/>
          <w:color w:val="00B050"/>
          <w:sz w:val="20"/>
          <w:szCs w:val="20"/>
          <w:rtl/>
        </w:rPr>
        <w:t>الساعات المكتبية :</w:t>
      </w:r>
      <w:r>
        <w:rPr>
          <w:rFonts w:ascii="Traditional Arabic" w:hAnsi="Traditional Arabic" w:cs="Mudir MT" w:hint="cs"/>
          <w:sz w:val="20"/>
          <w:szCs w:val="20"/>
          <w:rtl/>
        </w:rPr>
        <w:t>الاثنين : 12-1 / 3-4   الاربعاء 12-2  .       م : 298</w:t>
      </w:r>
    </w:p>
    <w:p w:rsidR="007E6AD4" w:rsidRDefault="007E6AD4" w:rsidP="007E6AD4">
      <w:pPr>
        <w:rPr>
          <w:rFonts w:ascii="Traditional Arabic" w:hAnsi="Traditional Arabic" w:cs="Mudir MT" w:hint="cs"/>
          <w:sz w:val="20"/>
          <w:szCs w:val="20"/>
          <w:rtl/>
        </w:rPr>
      </w:pPr>
      <w:r>
        <w:rPr>
          <w:rFonts w:ascii="Traditional Arabic" w:hAnsi="Traditional Arabic" w:cs="Mudir MT" w:hint="cs"/>
          <w:b/>
          <w:bCs/>
          <w:color w:val="00B050"/>
          <w:sz w:val="20"/>
          <w:szCs w:val="20"/>
          <w:rtl/>
        </w:rPr>
        <w:t>البريد الالكتروني :</w:t>
      </w:r>
      <w:r>
        <w:rPr>
          <w:rFonts w:ascii="Traditional Arabic" w:hAnsi="Traditional Arabic" w:cs="Mudir MT" w:hint="cs"/>
          <w:color w:val="00B050"/>
          <w:sz w:val="20"/>
          <w:szCs w:val="20"/>
          <w:rtl/>
        </w:rPr>
        <w:t xml:space="preserve"> </w:t>
      </w:r>
      <w:hyperlink r:id="rId5" w:history="1">
        <w:r>
          <w:rPr>
            <w:rStyle w:val="Hyperlink"/>
            <w:rFonts w:ascii="Traditional Arabic" w:hAnsi="Traditional Arabic" w:cs="Mudir MT"/>
            <w:sz w:val="24"/>
            <w:szCs w:val="24"/>
          </w:rPr>
          <w:t>almohiya.mona@gmail.com</w:t>
        </w:r>
      </w:hyperlink>
      <w:r>
        <w:rPr>
          <w:rFonts w:ascii="Traditional Arabic" w:hAnsi="Traditional Arabic" w:cs="Mudir MT"/>
          <w:sz w:val="24"/>
          <w:szCs w:val="24"/>
        </w:rPr>
        <w:t xml:space="preserve"> </w:t>
      </w:r>
    </w:p>
    <w:p w:rsidR="007E6AD4" w:rsidRDefault="007E6AD4" w:rsidP="007E6AD4">
      <w:pPr>
        <w:rPr>
          <w:rFonts w:cs="Mudir MT"/>
          <w:b/>
          <w:bCs/>
          <w:color w:val="FF0000"/>
          <w:sz w:val="20"/>
          <w:szCs w:val="20"/>
          <w:u w:val="single"/>
        </w:rPr>
      </w:pPr>
      <w:r>
        <w:rPr>
          <w:rFonts w:cs="Mudir MT" w:hint="cs"/>
          <w:b/>
          <w:bCs/>
          <w:color w:val="FF0000"/>
          <w:sz w:val="20"/>
          <w:szCs w:val="20"/>
          <w:u w:val="single"/>
          <w:rtl/>
        </w:rPr>
        <w:t>أهداف المقرر :</w:t>
      </w:r>
    </w:p>
    <w:p w:rsidR="002559C6" w:rsidRDefault="007E6AD4">
      <w:pPr>
        <w:rPr>
          <w:rFonts w:cs="Mudir MT" w:hint="cs"/>
          <w:sz w:val="20"/>
          <w:szCs w:val="20"/>
          <w:rtl/>
        </w:rPr>
      </w:pPr>
      <w:r w:rsidRPr="007E6AD4">
        <w:rPr>
          <w:rFonts w:cs="Mudir MT" w:hint="cs"/>
          <w:sz w:val="20"/>
          <w:szCs w:val="20"/>
          <w:rtl/>
        </w:rPr>
        <w:t xml:space="preserve">يهدف المقرر الى </w:t>
      </w:r>
      <w:r w:rsidRPr="007E6AD4">
        <w:rPr>
          <w:rFonts w:cs="Mudir MT"/>
          <w:sz w:val="20"/>
          <w:szCs w:val="20"/>
          <w:rtl/>
        </w:rPr>
        <w:t>تعريف الطالبة باستراتيجيات التدريس و التعلم و تدريبها عليها في مجال القراءة و الإملاء و التعبير التحريري و الخط. يشمل ذلك تطبيق الأساليب العامة في التدريس و الاستراتيجيات المنبثقة منها في كل من التدريس و التعلم، و إيضاح أسس التدريس و التعلم الفاعلين في مجال صعوبات التعلم و كيفية إعداد استراتيجيات التعلم الفاعلة و التدريب عليها</w:t>
      </w:r>
      <w:r w:rsidRPr="007E6AD4">
        <w:rPr>
          <w:rFonts w:cs="Mudir MT" w:hint="cs"/>
          <w:sz w:val="20"/>
          <w:szCs w:val="20"/>
          <w:rtl/>
        </w:rPr>
        <w:t xml:space="preserve"> .</w:t>
      </w:r>
    </w:p>
    <w:p w:rsidR="007E6AD4" w:rsidRDefault="007E6AD4" w:rsidP="007E6AD4">
      <w:pPr>
        <w:rPr>
          <w:rFonts w:ascii="Traditional Arabic" w:hAnsi="Traditional Arabic" w:cs="Mudir MT"/>
          <w:b/>
          <w:bCs/>
          <w:color w:val="FF0000"/>
          <w:sz w:val="20"/>
          <w:szCs w:val="20"/>
          <w:u w:val="single"/>
        </w:rPr>
      </w:pPr>
      <w:r>
        <w:rPr>
          <w:rFonts w:ascii="Traditional Arabic" w:hAnsi="Traditional Arabic" w:cs="Mudir MT" w:hint="cs"/>
          <w:b/>
          <w:bCs/>
          <w:color w:val="FF0000"/>
          <w:sz w:val="20"/>
          <w:szCs w:val="20"/>
          <w:u w:val="single"/>
          <w:rtl/>
        </w:rPr>
        <w:t>موضوعات المقرر 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2832"/>
        <w:gridCol w:w="2875"/>
      </w:tblGrid>
      <w:tr w:rsidR="007E6AD4" w:rsidRPr="007E6AD4" w:rsidTr="007E6AD4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 xml:space="preserve">ساعات </w:t>
            </w:r>
            <w:proofErr w:type="spellStart"/>
            <w:r w:rsidRPr="007E6AD4">
              <w:rPr>
                <w:rFonts w:cs="Mudir MT"/>
                <w:sz w:val="20"/>
                <w:szCs w:val="20"/>
                <w:rtl/>
              </w:rPr>
              <w:t>الأتصال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>عدد المحاضرات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>الموضوعات</w:t>
            </w:r>
          </w:p>
        </w:tc>
      </w:tr>
      <w:tr w:rsidR="007E6AD4" w:rsidRPr="007E6AD4" w:rsidTr="007E6AD4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>تمهيد، الأساليب العامة للتدريس، استراتيجيات التعلم( الباب الثاني و الثالث)</w:t>
            </w:r>
          </w:p>
        </w:tc>
      </w:tr>
      <w:tr w:rsidR="007E6AD4" w:rsidRPr="007E6AD4" w:rsidTr="007E6AD4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>الأساليب العامة في تدريس القراءة، استراتيجيات و طرق تدريس القراءة</w:t>
            </w:r>
          </w:p>
        </w:tc>
      </w:tr>
      <w:tr w:rsidR="007E6AD4" w:rsidRPr="007E6AD4" w:rsidTr="007E6AD4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 xml:space="preserve">التوجهات النظرية العامة في تدريس الإملاء، الاستراتيجيات الحديثة، تدريس استراتيجيات التعلم، الأسس العامة لتدريس </w:t>
            </w:r>
            <w:proofErr w:type="spellStart"/>
            <w:r w:rsidRPr="007E6AD4">
              <w:rPr>
                <w:rFonts w:cs="Mudir MT"/>
                <w:sz w:val="20"/>
                <w:szCs w:val="20"/>
                <w:rtl/>
              </w:rPr>
              <w:t>الإملاء،الاستراتيجيات</w:t>
            </w:r>
            <w:proofErr w:type="spellEnd"/>
            <w:r w:rsidRPr="007E6AD4">
              <w:rPr>
                <w:rFonts w:cs="Mudir MT"/>
                <w:sz w:val="20"/>
                <w:szCs w:val="20"/>
                <w:rtl/>
              </w:rPr>
              <w:t xml:space="preserve"> التقليدية</w:t>
            </w:r>
          </w:p>
        </w:tc>
      </w:tr>
      <w:tr w:rsidR="007E6AD4" w:rsidRPr="007E6AD4" w:rsidTr="007E6AD4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>طرق تدريس التعبير الكتابي، استراتيجيات الكتابة، التدرج في الكتابة، أنواع الكتابة، محاكاة الذات و استخدام الرسومات، البرامج</w:t>
            </w:r>
          </w:p>
        </w:tc>
      </w:tr>
      <w:tr w:rsidR="007E6AD4" w:rsidRPr="007E6AD4" w:rsidTr="007E6AD4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 w:rsidP="007E6AD4">
            <w:pPr>
              <w:bidi w:val="0"/>
              <w:jc w:val="center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7E6AD4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7E6AD4">
              <w:rPr>
                <w:rFonts w:cs="Mudir MT"/>
                <w:sz w:val="20"/>
                <w:szCs w:val="20"/>
                <w:rtl/>
              </w:rPr>
              <w:t xml:space="preserve">طرق تدريس الخط، مهارات الخط </w:t>
            </w:r>
            <w:proofErr w:type="spellStart"/>
            <w:r w:rsidRPr="007E6AD4">
              <w:rPr>
                <w:rFonts w:cs="Mudir MT"/>
                <w:sz w:val="20"/>
                <w:szCs w:val="20"/>
                <w:rtl/>
              </w:rPr>
              <w:t>الأساسية،الحالات</w:t>
            </w:r>
            <w:proofErr w:type="spellEnd"/>
            <w:r w:rsidRPr="007E6AD4">
              <w:rPr>
                <w:rFonts w:cs="Mudir MT"/>
                <w:sz w:val="20"/>
                <w:szCs w:val="20"/>
                <w:rtl/>
              </w:rPr>
              <w:t xml:space="preserve"> الخاصة، البرامج</w:t>
            </w:r>
          </w:p>
        </w:tc>
      </w:tr>
    </w:tbl>
    <w:p w:rsidR="007E6AD4" w:rsidRDefault="007E6AD4">
      <w:pPr>
        <w:rPr>
          <w:rFonts w:cs="Mudir MT" w:hint="cs"/>
          <w:sz w:val="20"/>
          <w:szCs w:val="20"/>
          <w:rtl/>
        </w:rPr>
      </w:pPr>
    </w:p>
    <w:p w:rsidR="007E6AD4" w:rsidRDefault="007E6AD4" w:rsidP="007E6AD4">
      <w:pPr>
        <w:rPr>
          <w:rFonts w:ascii="Traditional Arabic" w:hAnsi="Traditional Arabic" w:cs="Mudir MT"/>
          <w:b/>
          <w:bCs/>
          <w:u w:val="single"/>
        </w:rPr>
      </w:pPr>
      <w:r>
        <w:rPr>
          <w:rFonts w:ascii="Traditional Arabic" w:hAnsi="Traditional Arabic" w:cs="Mudir MT" w:hint="cs"/>
          <w:b/>
          <w:bCs/>
          <w:color w:val="FF0000"/>
          <w:u w:val="single"/>
          <w:rtl/>
        </w:rPr>
        <w:lastRenderedPageBreak/>
        <w:t>التقييم:</w:t>
      </w: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59"/>
        <w:gridCol w:w="1418"/>
        <w:gridCol w:w="4819"/>
        <w:gridCol w:w="851"/>
        <w:gridCol w:w="675"/>
      </w:tblGrid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b/>
                <w:bCs/>
                <w:color w:val="00B050"/>
                <w:sz w:val="20"/>
                <w:szCs w:val="20"/>
                <w:rtl/>
              </w:rPr>
              <w:t>رقم المهمة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b/>
                <w:bCs/>
                <w:color w:val="00B050"/>
                <w:sz w:val="20"/>
                <w:szCs w:val="20"/>
                <w:rtl/>
              </w:rPr>
              <w:t xml:space="preserve">طبيعة المهمة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b/>
                <w:bCs/>
                <w:color w:val="00B050"/>
                <w:sz w:val="20"/>
                <w:szCs w:val="20"/>
                <w:rtl/>
              </w:rPr>
              <w:t>وصف المهمة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b/>
                <w:bCs/>
                <w:color w:val="00B050"/>
                <w:sz w:val="20"/>
                <w:szCs w:val="20"/>
                <w:rtl/>
              </w:rPr>
              <w:t>التاريخ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raditional Arabic" w:hAnsi="Traditional Arabic" w:cs="Mudir MT" w:hint="cs"/>
                <w:b/>
                <w:bCs/>
                <w:color w:val="00B050"/>
                <w:sz w:val="18"/>
                <w:szCs w:val="18"/>
                <w:rtl/>
              </w:rPr>
              <w:t xml:space="preserve">الدرجة </w:t>
            </w:r>
          </w:p>
        </w:tc>
      </w:tr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color w:val="FF0000"/>
                <w:sz w:val="20"/>
                <w:szCs w:val="20"/>
                <w:rtl/>
              </w:rPr>
              <w:t xml:space="preserve">المشاركة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مشاركة الطالبة المستمرة وتفاعلها داخل المجموعة وخارجها في كل محاضرة كما يجب أن تكون تلك المشاركة علمية ومرتبطة بموضوع المحاضرة المطروح.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خلال الفصل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5</w:t>
            </w:r>
          </w:p>
        </w:tc>
      </w:tr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color w:val="FF0000"/>
                <w:sz w:val="20"/>
                <w:szCs w:val="20"/>
                <w:rtl/>
              </w:rPr>
              <w:t>الحضور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الالتزام بالحضور طول فترة الفصل الدراسي . وفي حال وجود عذر لغياب الطالبة فيجب تقديمه مباشرة بعد الغياب.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خلال الفصل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5</w:t>
            </w:r>
          </w:p>
        </w:tc>
      </w:tr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color w:val="FF0000"/>
                <w:sz w:val="20"/>
                <w:szCs w:val="20"/>
                <w:rtl/>
              </w:rPr>
              <w:t>اختبار فصلي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 xml:space="preserve">يتم إعداد اسئلة موضوعية ومقاليه حول الفصول التي تم الاتفاق عليها مسبقاً </w:t>
            </w:r>
            <w:proofErr w:type="spellStart"/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للإختبار</w:t>
            </w:r>
            <w:proofErr w:type="spellEnd"/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 xml:space="preserve"> الفصلي 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17-2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20</w:t>
            </w:r>
          </w:p>
        </w:tc>
      </w:tr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18"/>
                <w:szCs w:val="18"/>
              </w:rPr>
            </w:pPr>
            <w:r>
              <w:rPr>
                <w:rFonts w:cs="Mudir MT" w:hint="cs"/>
                <w:color w:val="FF0000"/>
                <w:sz w:val="18"/>
                <w:szCs w:val="18"/>
                <w:rtl/>
              </w:rPr>
              <w:t>اختبارات قصيرة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سيتم إجراء اختباريين بعد عروض الزميلات . و لن يتم تحديد موعد مسبق لها . لذلك يجب على الجميع ان يكون على اتم استعداد بعد كل عرض 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D4" w:rsidRDefault="007E6AD4">
            <w:pPr>
              <w:jc w:val="left"/>
              <w:rPr>
                <w:rFonts w:ascii="Traditional Arabic" w:hAnsi="Traditional Arabic" w:cs="Mudir MT"/>
                <w:sz w:val="20"/>
                <w:szCs w:val="20"/>
                <w:rtl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خلال الفصل</w:t>
            </w:r>
          </w:p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10</w:t>
            </w:r>
          </w:p>
        </w:tc>
      </w:tr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20"/>
                <w:szCs w:val="20"/>
                <w:rtl/>
              </w:rPr>
            </w:pPr>
          </w:p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20"/>
                <w:szCs w:val="20"/>
              </w:rPr>
            </w:pPr>
            <w:r>
              <w:rPr>
                <w:rFonts w:cs="Mudir MT" w:hint="cs"/>
                <w:color w:val="FF0000"/>
                <w:sz w:val="20"/>
                <w:szCs w:val="20"/>
                <w:rtl/>
              </w:rPr>
              <w:t xml:space="preserve">تقديم قراءات حول مفردات المقرر   </w:t>
            </w:r>
            <w:r>
              <w:rPr>
                <w:rFonts w:cs="Mudir MT" w:hint="cs"/>
                <w:color w:val="FF0000"/>
                <w:sz w:val="20"/>
                <w:szCs w:val="20"/>
                <w:u w:val="single"/>
                <w:rtl/>
              </w:rPr>
              <w:t>عرض جماعي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 w:rsidP="007E6AD4">
            <w:pPr>
              <w:jc w:val="center"/>
              <w:rPr>
                <w:rFonts w:cs="Mudir MT"/>
                <w:sz w:val="20"/>
                <w:szCs w:val="20"/>
              </w:rPr>
            </w:pPr>
            <w:r>
              <w:rPr>
                <w:rFonts w:cs="Mudir MT" w:hint="cs"/>
                <w:sz w:val="20"/>
                <w:szCs w:val="20"/>
                <w:rtl/>
              </w:rPr>
              <w:t>المطلوب من كل مجموعة إعداد عرض –بوربوينت+ ملف وورد- عن استراتيجيات وطرق تدريس مهارة محددة في ال</w:t>
            </w:r>
            <w:r>
              <w:rPr>
                <w:rFonts w:cs="Mudir MT" w:hint="cs"/>
                <w:sz w:val="20"/>
                <w:szCs w:val="20"/>
                <w:rtl/>
              </w:rPr>
              <w:t>قراءة</w:t>
            </w:r>
            <w:r>
              <w:rPr>
                <w:rFonts w:cs="Mudir MT" w:hint="cs"/>
                <w:sz w:val="20"/>
                <w:szCs w:val="20"/>
                <w:rtl/>
              </w:rPr>
              <w:t xml:space="preserve"> .مع مراعاة التلخيص الجيد والمفيد حول أهم المعلومات وتدعيم ذلك بمقاطع فيديو مرتبطة بالموضوع المطروح </w:t>
            </w:r>
            <w:r>
              <w:rPr>
                <w:rFonts w:cs="Mudir MT" w:hint="cs"/>
                <w:sz w:val="20"/>
                <w:szCs w:val="20"/>
                <w:u w:val="single"/>
                <w:rtl/>
              </w:rPr>
              <w:t>والبحث في مراجع اخرى</w:t>
            </w:r>
            <w:r>
              <w:rPr>
                <w:rFonts w:cs="Mudir MT" w:hint="cs"/>
                <w:sz w:val="20"/>
                <w:szCs w:val="20"/>
                <w:rtl/>
              </w:rPr>
              <w:t xml:space="preserve"> تدعم الموضوع . ويجب على المجموعة الاطلاع جيداً على معايير العرض الموجودة على موقع استاذ المقرر . كما سيكون هناك اجتماع لكل مجموعة مع استاذ المقرر وذلك للتأكد من جاهزية المجموعة وإعطائهم تغذية راجعة قبل وقت العرض المحدد لهم 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  <w:rtl/>
              </w:rPr>
            </w:pPr>
          </w:p>
          <w:p w:rsidR="007E6AD4" w:rsidRDefault="007E6AD4">
            <w:pPr>
              <w:jc w:val="center"/>
              <w:rPr>
                <w:rFonts w:ascii="Traditional Arabic" w:hAnsi="Traditional Arabic" w:cs="Mudir MT" w:hint="cs"/>
                <w:sz w:val="20"/>
                <w:szCs w:val="20"/>
                <w:rtl/>
              </w:rPr>
            </w:pPr>
            <w:r>
              <w:rPr>
                <w:rFonts w:ascii="Traditional Arabic" w:hAnsi="Traditional Arabic" w:cs="Mudir MT" w:hint="cs"/>
                <w:sz w:val="18"/>
                <w:szCs w:val="18"/>
                <w:rtl/>
              </w:rPr>
              <w:t xml:space="preserve">تبدأ العروض من </w:t>
            </w: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تاريخ</w:t>
            </w:r>
          </w:p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26-1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  <w:rtl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15</w:t>
            </w:r>
          </w:p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</w:p>
        </w:tc>
      </w:tr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color w:val="FF0000"/>
                <w:sz w:val="20"/>
                <w:szCs w:val="20"/>
                <w:rtl/>
              </w:rPr>
              <w:t>كتابة تقرير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 w:rsidP="007E6AD4">
            <w:pPr>
              <w:jc w:val="center"/>
              <w:rPr>
                <w:rFonts w:cs="Mudir MT"/>
                <w:sz w:val="20"/>
                <w:szCs w:val="20"/>
              </w:rPr>
            </w:pPr>
            <w:r>
              <w:rPr>
                <w:rFonts w:cs="Mudir MT" w:hint="cs"/>
                <w:sz w:val="20"/>
                <w:szCs w:val="20"/>
                <w:rtl/>
              </w:rPr>
              <w:t>المطلوب من كل طالبة إعداد تقرير ميداني وذلك بعد حضور حصة تدريسية واحدة لاحد مهارات ال</w:t>
            </w:r>
            <w:r>
              <w:rPr>
                <w:rFonts w:cs="Mudir MT" w:hint="cs"/>
                <w:sz w:val="20"/>
                <w:szCs w:val="20"/>
                <w:rtl/>
              </w:rPr>
              <w:t>قراءة</w:t>
            </w:r>
            <w:r>
              <w:rPr>
                <w:rFonts w:cs="Mudir MT" w:hint="cs"/>
                <w:sz w:val="20"/>
                <w:szCs w:val="20"/>
                <w:rtl/>
              </w:rPr>
              <w:t xml:space="preserve"> وتسجيل الاستراتيجية المستخدمة من قبل المعلمة وإعطاء وصف كامل لتطبيق الاستراتيجية اثناء الدرس مع تسجيل كافة الملاحظات على الطالب او المعلمة. وتوثيق كافة الوسائل والادوات المستخدمة . ( الاطلاع على معايير التقرير على موقع استاذ المقرر ) 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يبدأ تسليم التقارير من تاريخ 2_3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5</w:t>
            </w:r>
          </w:p>
        </w:tc>
      </w:tr>
      <w:tr w:rsidR="007E6AD4" w:rsidTr="007E6AD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color w:val="FF0000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color w:val="FF0000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Default="007E6AD4">
            <w:pPr>
              <w:jc w:val="center"/>
              <w:rPr>
                <w:rFonts w:ascii="Traditional Arabic" w:hAnsi="Traditional Arabic" w:cs="Mudir MT"/>
                <w:sz w:val="20"/>
                <w:szCs w:val="20"/>
              </w:rPr>
            </w:pPr>
            <w:r>
              <w:rPr>
                <w:rFonts w:ascii="Traditional Arabic" w:hAnsi="Traditional Arabic" w:cs="Mudir MT" w:hint="cs"/>
                <w:sz w:val="20"/>
                <w:szCs w:val="20"/>
                <w:rtl/>
              </w:rPr>
              <w:t>40</w:t>
            </w:r>
          </w:p>
        </w:tc>
      </w:tr>
    </w:tbl>
    <w:p w:rsidR="007E6AD4" w:rsidRPr="00521FFE" w:rsidRDefault="007E6AD4">
      <w:pPr>
        <w:rPr>
          <w:rFonts w:cs="Mudir MT" w:hint="cs"/>
          <w:b/>
          <w:bCs/>
          <w:color w:val="FF0000"/>
          <w:u w:val="single"/>
          <w:rtl/>
        </w:rPr>
      </w:pPr>
      <w:r w:rsidRPr="00521FFE">
        <w:rPr>
          <w:rFonts w:cs="Mudir MT" w:hint="cs"/>
          <w:b/>
          <w:bCs/>
          <w:color w:val="FF0000"/>
          <w:u w:val="single"/>
          <w:rtl/>
        </w:rPr>
        <w:t>المراجع</w:t>
      </w:r>
      <w:r w:rsidR="00521FFE" w:rsidRPr="00521FFE">
        <w:rPr>
          <w:rFonts w:cs="Mudir MT" w:hint="cs"/>
          <w:b/>
          <w:bCs/>
          <w:color w:val="FF0000"/>
          <w:u w:val="single"/>
          <w:rtl/>
        </w:rPr>
        <w:t xml:space="preserve"> 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94"/>
        <w:gridCol w:w="328"/>
      </w:tblGrid>
      <w:tr w:rsidR="007E6AD4" w:rsidRPr="00521FFE" w:rsidTr="007E6AD4"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521FFE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521FFE">
              <w:rPr>
                <w:rFonts w:cs="Mudir MT"/>
                <w:sz w:val="20"/>
                <w:szCs w:val="20"/>
                <w:rtl/>
              </w:rPr>
              <w:t xml:space="preserve">أبو </w:t>
            </w:r>
            <w:proofErr w:type="spellStart"/>
            <w:r w:rsidRPr="00521FFE">
              <w:rPr>
                <w:rFonts w:cs="Mudir MT"/>
                <w:sz w:val="20"/>
                <w:szCs w:val="20"/>
                <w:rtl/>
              </w:rPr>
              <w:t>نيان</w:t>
            </w:r>
            <w:proofErr w:type="spellEnd"/>
            <w:r w:rsidRPr="00521FFE">
              <w:rPr>
                <w:rFonts w:cs="Mudir MT"/>
                <w:sz w:val="20"/>
                <w:szCs w:val="20"/>
                <w:rtl/>
              </w:rPr>
              <w:t>، إبراهيم (2011). طرق التدريس و الاستراتيجيات المعرفية. دار الناشر، الرياض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521FFE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521FFE">
              <w:rPr>
                <w:rFonts w:cs="Mudir MT"/>
                <w:sz w:val="20"/>
                <w:szCs w:val="20"/>
              </w:rPr>
              <w:t>1</w:t>
            </w:r>
          </w:p>
        </w:tc>
      </w:tr>
      <w:tr w:rsidR="007E6AD4" w:rsidRPr="00521FFE" w:rsidTr="007E6AD4"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521FFE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proofErr w:type="spellStart"/>
            <w:r w:rsidRPr="00521FFE">
              <w:rPr>
                <w:rFonts w:cs="Mudir MT"/>
                <w:sz w:val="20"/>
                <w:szCs w:val="20"/>
                <w:rtl/>
              </w:rPr>
              <w:t>البتال</w:t>
            </w:r>
            <w:proofErr w:type="spellEnd"/>
            <w:r w:rsidRPr="00521FFE">
              <w:rPr>
                <w:rFonts w:cs="Mudir MT"/>
                <w:sz w:val="20"/>
                <w:szCs w:val="20"/>
                <w:rtl/>
              </w:rPr>
              <w:t>، زيد محمد (2013). أساسيات (أبجديات) القياس المبني على المنهاج. (مترجم) مركز الترجمة، جامعة الملك سعود، الرياض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521FFE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521FFE">
              <w:rPr>
                <w:rFonts w:cs="Mudir MT"/>
                <w:sz w:val="20"/>
                <w:szCs w:val="20"/>
              </w:rPr>
              <w:t>2</w:t>
            </w:r>
          </w:p>
        </w:tc>
      </w:tr>
      <w:tr w:rsidR="007E6AD4" w:rsidRPr="00521FFE" w:rsidTr="007E6AD4"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521FFE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521FFE">
              <w:rPr>
                <w:rFonts w:cs="Mudir MT"/>
                <w:sz w:val="20"/>
                <w:szCs w:val="20"/>
                <w:rtl/>
              </w:rPr>
              <w:t xml:space="preserve">عواد، </w:t>
            </w:r>
            <w:proofErr w:type="spellStart"/>
            <w:r w:rsidRPr="00521FFE">
              <w:rPr>
                <w:rFonts w:cs="Mudir MT"/>
                <w:sz w:val="20"/>
                <w:szCs w:val="20"/>
                <w:rtl/>
              </w:rPr>
              <w:t>أحمد،السرطاوي</w:t>
            </w:r>
            <w:proofErr w:type="spellEnd"/>
            <w:r w:rsidRPr="00521FFE">
              <w:rPr>
                <w:rFonts w:cs="Mudir MT"/>
                <w:sz w:val="20"/>
                <w:szCs w:val="20"/>
                <w:rtl/>
              </w:rPr>
              <w:t xml:space="preserve">، زيدان (2011). صعوبات القراءة و الكتابة النظرية و التشخيص و العلاج. دار الناشر </w:t>
            </w:r>
            <w:proofErr w:type="spellStart"/>
            <w:r w:rsidRPr="00521FFE">
              <w:rPr>
                <w:rFonts w:cs="Mudir MT"/>
                <w:sz w:val="20"/>
                <w:szCs w:val="20"/>
                <w:rtl/>
              </w:rPr>
              <w:t>الدولي،الرياض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D4" w:rsidRPr="00521FFE" w:rsidRDefault="007E6AD4">
            <w:pPr>
              <w:bidi w:val="0"/>
              <w:rPr>
                <w:rFonts w:cs="Mudir MT"/>
                <w:sz w:val="20"/>
                <w:szCs w:val="20"/>
              </w:rPr>
            </w:pPr>
            <w:r w:rsidRPr="00521FFE">
              <w:rPr>
                <w:rFonts w:cs="Mudir MT"/>
                <w:sz w:val="20"/>
                <w:szCs w:val="20"/>
              </w:rPr>
              <w:t>3</w:t>
            </w:r>
          </w:p>
        </w:tc>
      </w:tr>
    </w:tbl>
    <w:p w:rsidR="007E6AD4" w:rsidRPr="007E6AD4" w:rsidRDefault="007E6AD4">
      <w:pPr>
        <w:rPr>
          <w:rFonts w:cs="Mudir MT" w:hint="cs"/>
          <w:sz w:val="20"/>
          <w:szCs w:val="20"/>
        </w:rPr>
      </w:pPr>
    </w:p>
    <w:sectPr w:rsidR="007E6AD4" w:rsidRPr="007E6AD4" w:rsidSect="00521FFE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4"/>
    <w:rsid w:val="00057C23"/>
    <w:rsid w:val="002559C6"/>
    <w:rsid w:val="00521FFE"/>
    <w:rsid w:val="007E6AD4"/>
    <w:rsid w:val="008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E6AD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E6AD4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E6AD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E6AD4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ohiya.mo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2017-09-19T14:05:00Z</cp:lastPrinted>
  <dcterms:created xsi:type="dcterms:W3CDTF">2017-09-19T13:27:00Z</dcterms:created>
  <dcterms:modified xsi:type="dcterms:W3CDTF">2017-09-19T14:18:00Z</dcterms:modified>
</cp:coreProperties>
</file>