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60492B">
        <w:rPr>
          <w:rFonts w:ascii="Times New Roman" w:hAnsi="Times New Roman" w:hint="cs"/>
          <w:bCs/>
          <w:color w:val="auto"/>
          <w:rtl/>
        </w:rPr>
        <w:t>الثاني 1435</w:t>
      </w:r>
    </w:p>
    <w:p w:rsidR="00853C77" w:rsidRPr="005353B9" w:rsidRDefault="00853C77" w:rsidP="00BE67CE">
      <w:pPr>
        <w:bidi/>
        <w:spacing w:line="480" w:lineRule="auto"/>
        <w:jc w:val="both"/>
        <w:rPr>
          <w:rFonts w:ascii="Times New Roman" w:hAnsi="Times New Roman"/>
          <w:b/>
          <w:color w:val="auto"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60492B">
        <w:rPr>
          <w:rFonts w:ascii="Times New Roman" w:hAnsi="Times New Roman" w:hint="cs"/>
          <w:b/>
          <w:color w:val="auto"/>
          <w:rtl/>
        </w:rPr>
        <w:t>1435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42FD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 / فوزية عمر بخرجي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42FD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الاحد 9-10      الاربعاء 9-10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42FD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34</w:t>
            </w:r>
            <w:r w:rsidR="0070558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</w:t>
            </w:r>
            <w:r w:rsidR="00705583">
              <w:rPr>
                <w:rFonts w:ascii="Times New Roman" w:hAnsi="Times New Roman"/>
                <w:bCs/>
                <w:color w:val="auto"/>
                <w:szCs w:val="24"/>
              </w:rPr>
              <w:t>is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42FD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  Bakhorji @gmail.com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D42FD7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المناخ التطبيقي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D42FD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401  جغر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40" w:rsidRDefault="004E5540" w:rsidP="004E5540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F1275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يتناول المقرر تعريف المناخ التطبيقي ومجالاته وعلاقاته المتداخلة مع </w:t>
            </w:r>
            <w:r w:rsidRPr="00957FC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العلوم الأخرى،</w:t>
            </w:r>
            <w:r w:rsidRPr="00F1275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ويبين تأثير المناخ في البيئة الطبيعية والأنشطة البشرية، وكيفية الاستفادة من البيانات المناخية في حل المشكلات البيئية المناخية وتحليل العلاقة بين المناخ ومظاهر النشاط البشري  (موارد المياه ، النشاط الزراعي، النقل، والمواصلات، النشاط الصناعي، النشاط السياحي، المجال العسكري، وغيرها 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 كما</w:t>
            </w:r>
            <w:r w:rsidRPr="00F1275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يعرض المقرر أمثلة توضيحية لبعض الدراسات المناخية التطبيقية المحلية والعالمية. </w:t>
            </w:r>
          </w:p>
          <w:p w:rsidR="00853C77" w:rsidRPr="007E320D" w:rsidRDefault="00853C7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lang w:bidi="ar-J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F85F60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الادراك المعرفي لعناصر المناخ التطبيقي والوحدات المستخدمة </w:t>
            </w:r>
          </w:p>
          <w:p w:rsidR="00F85F60" w:rsidRDefault="00F85F60" w:rsidP="00F85F6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تطبيق طرق قياس الظواهر الجوية بالتقدير والحساب </w:t>
            </w:r>
          </w:p>
          <w:p w:rsidR="00F85F60" w:rsidRDefault="00F85F60" w:rsidP="00F85F6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تطبيق القرائن المناخية التطبيقية المختلفة </w:t>
            </w:r>
          </w:p>
          <w:p w:rsidR="00F85F60" w:rsidRPr="005353B9" w:rsidRDefault="00F85F60" w:rsidP="00F85F6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معرفة دور المناخ في حل المشكلات البيئية كالتصحر وزحف الرمال زتغطية الواحات الزراعية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F85F60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1- علي موسى ، علم المناخ التطبيقي 1982 </w:t>
            </w:r>
            <w:r>
              <w:rPr>
                <w:rFonts w:ascii="Times New Roman" w:hAnsi="Times New Roman"/>
                <w:b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2- علي موسى ، الرصد والتنبوء الجوي 1986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F85F60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1- ابراهيم الاحيدب ، المناخ والحياة ، 1424  - 2- محمد شرف ، دراسة في علم المناخ التطبيقي 2010</w:t>
            </w:r>
          </w:p>
          <w:p w:rsidR="00F85F60" w:rsidRPr="005353B9" w:rsidRDefault="00F85F60" w:rsidP="00F85F60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F85F6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تدريبات تطبيقية على القرائن 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F85F60" w:rsidP="00F85F6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عدد 3 اختبار قصير 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F85F60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 فصلي 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F85F6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 xml:space="preserve">اختبار نهائي 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85F6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مقدمة في طبيعة المناخ التطبيقي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عناصر المناخ التطبيقي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55016" w:rsidP="00426D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الاشعاع الشمسي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ساعات سطوع الشمس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</w:t>
            </w:r>
            <w:r w:rsidR="00426D7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قوانين الاشعاع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5501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مقاييس درجة الحرارة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الحرارة النسبية - الحرارة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التهطال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انواع الرطوبة الجوية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حركة الهواء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التبخر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اقاليم العالم المناخية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تصنيف كوبن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المناخ والتربة والنبات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انواع قطاعات التربة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الاقاليم النباتية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المناخ والمياة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طريقة ثيسن لخطوط تساوي المطر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الموازنة المائية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ثورثونيت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المناخ والانسان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راحة الانسان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قرائن الجهد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المناخ والصحة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الظواهر الجوية واثرها على صحة الانسان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55016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426D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المناخ والزراعة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الحرارة العظمى والدنيا الملائمة للنبات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75501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755016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فصل النمو- الحرارة المثلى لعدد من المحاصيل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75501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755016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426D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مراجعة المادة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مناقشة القوانين المعطاة واعطاء تدريبات اضافية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75501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755016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853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755016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755016"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E5429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BF" w:rsidRDefault="00B905BF">
      <w:r>
        <w:separator/>
      </w:r>
    </w:p>
  </w:endnote>
  <w:endnote w:type="continuationSeparator" w:id="1">
    <w:p w:rsidR="00B905BF" w:rsidRDefault="00B9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BF" w:rsidRDefault="00B905BF">
      <w:r>
        <w:separator/>
      </w:r>
    </w:p>
  </w:footnote>
  <w:footnote w:type="continuationSeparator" w:id="1">
    <w:p w:rsidR="00B905BF" w:rsidRDefault="00B9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262961"/>
    <w:rsid w:val="00342ADA"/>
    <w:rsid w:val="003D244A"/>
    <w:rsid w:val="003F1883"/>
    <w:rsid w:val="003F564D"/>
    <w:rsid w:val="00426D73"/>
    <w:rsid w:val="00477E53"/>
    <w:rsid w:val="004E5540"/>
    <w:rsid w:val="00524EA4"/>
    <w:rsid w:val="005353B9"/>
    <w:rsid w:val="00547203"/>
    <w:rsid w:val="00566AF3"/>
    <w:rsid w:val="005A481C"/>
    <w:rsid w:val="005A690D"/>
    <w:rsid w:val="0060492B"/>
    <w:rsid w:val="006061E7"/>
    <w:rsid w:val="006B7C05"/>
    <w:rsid w:val="006F0D1F"/>
    <w:rsid w:val="00705583"/>
    <w:rsid w:val="00755016"/>
    <w:rsid w:val="007B644B"/>
    <w:rsid w:val="007E320D"/>
    <w:rsid w:val="007F2722"/>
    <w:rsid w:val="00805E88"/>
    <w:rsid w:val="00853C77"/>
    <w:rsid w:val="008841AE"/>
    <w:rsid w:val="00955F5D"/>
    <w:rsid w:val="009F0426"/>
    <w:rsid w:val="00A87D55"/>
    <w:rsid w:val="00B42097"/>
    <w:rsid w:val="00B63A1D"/>
    <w:rsid w:val="00B905BF"/>
    <w:rsid w:val="00B92AF1"/>
    <w:rsid w:val="00BE67CE"/>
    <w:rsid w:val="00C02411"/>
    <w:rsid w:val="00C15B49"/>
    <w:rsid w:val="00C24FD8"/>
    <w:rsid w:val="00CE52F4"/>
    <w:rsid w:val="00D158BC"/>
    <w:rsid w:val="00D42FD7"/>
    <w:rsid w:val="00DB0AB2"/>
    <w:rsid w:val="00DC490B"/>
    <w:rsid w:val="00E366D5"/>
    <w:rsid w:val="00E41DD2"/>
    <w:rsid w:val="00E5429B"/>
    <w:rsid w:val="00EF31B4"/>
    <w:rsid w:val="00F143B2"/>
    <w:rsid w:val="00F23C8A"/>
    <w:rsid w:val="00F85F60"/>
    <w:rsid w:val="00F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5429B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E5429B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E5429B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E5429B"/>
    <w:rPr>
      <w:rFonts w:eastAsia="ヒラギノ角ゴ Pro W3"/>
      <w:color w:val="000000"/>
    </w:rPr>
  </w:style>
  <w:style w:type="paragraph" w:customStyle="1" w:styleId="FreeFormB">
    <w:name w:val="Free Form B"/>
    <w:rsid w:val="00E5429B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DB050-D57D-416A-849D-F44FC9A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</Company>
  <LinksUpToDate>false</LinksUpToDate>
  <CharactersWithSpaces>2653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Mom</cp:lastModifiedBy>
  <cp:revision>2</cp:revision>
  <cp:lastPrinted>2013-11-28T10:11:00Z</cp:lastPrinted>
  <dcterms:created xsi:type="dcterms:W3CDTF">2015-10-25T15:05:00Z</dcterms:created>
  <dcterms:modified xsi:type="dcterms:W3CDTF">2015-10-25T15:05:00Z</dcterms:modified>
</cp:coreProperties>
</file>