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48" w:rsidRDefault="00747848" w:rsidP="00747848">
      <w:pPr>
        <w:bidi w:val="0"/>
        <w:spacing w:line="360" w:lineRule="auto"/>
        <w:jc w:val="center"/>
        <w:rPr>
          <w:b/>
          <w:bCs/>
          <w:sz w:val="32"/>
          <w:szCs w:val="38"/>
        </w:rPr>
      </w:pPr>
      <w:r>
        <w:rPr>
          <w:b/>
          <w:bCs/>
          <w:sz w:val="32"/>
          <w:szCs w:val="38"/>
        </w:rPr>
        <w:t>King Saud University</w:t>
      </w:r>
    </w:p>
    <w:p w:rsidR="00747848" w:rsidRDefault="00747848" w:rsidP="00747848">
      <w:pPr>
        <w:bidi w:val="0"/>
        <w:spacing w:line="360" w:lineRule="auto"/>
        <w:jc w:val="center"/>
        <w:rPr>
          <w:b/>
          <w:bCs/>
          <w:sz w:val="32"/>
          <w:szCs w:val="38"/>
        </w:rPr>
      </w:pPr>
      <w:r>
        <w:rPr>
          <w:b/>
          <w:bCs/>
          <w:sz w:val="32"/>
          <w:szCs w:val="38"/>
        </w:rPr>
        <w:t>College of Applied Medical Sciences</w:t>
      </w:r>
    </w:p>
    <w:p w:rsidR="00747848" w:rsidRDefault="00747848" w:rsidP="00747848">
      <w:pPr>
        <w:bidi w:val="0"/>
        <w:spacing w:line="360" w:lineRule="auto"/>
        <w:jc w:val="center"/>
        <w:rPr>
          <w:b/>
          <w:bCs/>
          <w:sz w:val="32"/>
          <w:szCs w:val="38"/>
        </w:rPr>
      </w:pPr>
      <w:r>
        <w:rPr>
          <w:b/>
          <w:bCs/>
          <w:sz w:val="32"/>
          <w:szCs w:val="38"/>
        </w:rPr>
        <w:t>Dental Health</w:t>
      </w:r>
      <w:r w:rsidRPr="008B3FBF">
        <w:rPr>
          <w:b/>
          <w:bCs/>
          <w:sz w:val="32"/>
          <w:szCs w:val="38"/>
        </w:rPr>
        <w:t xml:space="preserve"> Department</w:t>
      </w:r>
    </w:p>
    <w:p w:rsidR="00747848" w:rsidRPr="008B3FBF" w:rsidRDefault="00747848" w:rsidP="00747848">
      <w:pPr>
        <w:bidi w:val="0"/>
        <w:spacing w:line="360" w:lineRule="auto"/>
        <w:jc w:val="center"/>
        <w:rPr>
          <w:b/>
          <w:bCs/>
          <w:sz w:val="32"/>
          <w:szCs w:val="38"/>
        </w:rPr>
      </w:pPr>
      <w:r>
        <w:rPr>
          <w:b/>
          <w:bCs/>
          <w:sz w:val="32"/>
          <w:szCs w:val="38"/>
        </w:rPr>
        <w:t>Dental Hygiene Program</w:t>
      </w:r>
    </w:p>
    <w:p w:rsidR="00747848" w:rsidRPr="008B3FBF" w:rsidRDefault="00747848" w:rsidP="00747848">
      <w:pPr>
        <w:bidi w:val="0"/>
        <w:spacing w:line="360" w:lineRule="auto"/>
        <w:jc w:val="center"/>
        <w:rPr>
          <w:b/>
          <w:bCs/>
          <w:sz w:val="32"/>
          <w:szCs w:val="38"/>
        </w:rPr>
      </w:pPr>
    </w:p>
    <w:p w:rsidR="00747848" w:rsidRPr="008B3FBF" w:rsidRDefault="00747848" w:rsidP="00747848">
      <w:pPr>
        <w:bidi w:val="0"/>
        <w:spacing w:line="360" w:lineRule="auto"/>
        <w:jc w:val="center"/>
        <w:rPr>
          <w:b/>
          <w:bCs/>
          <w:sz w:val="32"/>
          <w:szCs w:val="38"/>
        </w:rPr>
      </w:pPr>
      <w:r w:rsidRPr="008B3FBF">
        <w:rPr>
          <w:b/>
          <w:bCs/>
          <w:sz w:val="32"/>
          <w:szCs w:val="38"/>
        </w:rPr>
        <w:t>COURSE S</w:t>
      </w:r>
      <w:r>
        <w:rPr>
          <w:b/>
          <w:bCs/>
          <w:sz w:val="32"/>
          <w:szCs w:val="38"/>
        </w:rPr>
        <w:t>YLLABUS</w:t>
      </w:r>
    </w:p>
    <w:p w:rsidR="00747848" w:rsidRDefault="00747848" w:rsidP="00747848">
      <w:pPr>
        <w:bidi w:val="0"/>
        <w:spacing w:line="360" w:lineRule="auto"/>
        <w:jc w:val="lowKashida"/>
        <w:rPr>
          <w:sz w:val="32"/>
          <w:szCs w:val="38"/>
        </w:rPr>
      </w:pPr>
    </w:p>
    <w:p w:rsidR="00747848" w:rsidRPr="00174630" w:rsidRDefault="00747848" w:rsidP="00747848">
      <w:pPr>
        <w:bidi w:val="0"/>
        <w:spacing w:line="360" w:lineRule="auto"/>
        <w:jc w:val="lowKashida"/>
        <w:rPr>
          <w:rFonts w:cs="Arabic Transparent"/>
          <w:sz w:val="28"/>
          <w:szCs w:val="28"/>
        </w:rPr>
      </w:pPr>
      <w:r>
        <w:rPr>
          <w:b/>
          <w:bCs/>
          <w:sz w:val="32"/>
          <w:szCs w:val="38"/>
        </w:rPr>
        <w:t>Course Title          :</w:t>
      </w:r>
      <w:r>
        <w:rPr>
          <w:spacing w:val="-20"/>
          <w:sz w:val="32"/>
          <w:szCs w:val="38"/>
        </w:rPr>
        <w:t xml:space="preserve"> </w:t>
      </w:r>
      <w:r>
        <w:rPr>
          <w:spacing w:val="-20"/>
          <w:w w:val="90"/>
          <w:sz w:val="32"/>
          <w:szCs w:val="38"/>
        </w:rPr>
        <w:t xml:space="preserve">              </w:t>
      </w:r>
      <w:r w:rsidRPr="00851A8D">
        <w:rPr>
          <w:spacing w:val="-20"/>
          <w:w w:val="90"/>
          <w:sz w:val="32"/>
          <w:szCs w:val="38"/>
        </w:rPr>
        <w:t>ORAL HYGIENE AND YOUNG    PATIENTS</w:t>
      </w:r>
    </w:p>
    <w:p w:rsidR="00747848" w:rsidRDefault="00747848" w:rsidP="00747848">
      <w:pPr>
        <w:tabs>
          <w:tab w:val="right" w:pos="720"/>
        </w:tabs>
        <w:bidi w:val="0"/>
        <w:spacing w:line="360" w:lineRule="auto"/>
        <w:jc w:val="lowKashida"/>
        <w:rPr>
          <w:b/>
          <w:bCs/>
          <w:sz w:val="32"/>
          <w:szCs w:val="38"/>
        </w:rPr>
      </w:pPr>
    </w:p>
    <w:p w:rsidR="00747848" w:rsidRPr="0047591B" w:rsidRDefault="00747848" w:rsidP="00747848">
      <w:pPr>
        <w:bidi w:val="0"/>
        <w:spacing w:line="360" w:lineRule="auto"/>
        <w:jc w:val="lowKashida"/>
        <w:rPr>
          <w:sz w:val="32"/>
          <w:szCs w:val="38"/>
        </w:rPr>
      </w:pPr>
      <w:r>
        <w:rPr>
          <w:b/>
          <w:bCs/>
          <w:sz w:val="32"/>
          <w:szCs w:val="38"/>
        </w:rPr>
        <w:t>Course Number    :</w:t>
      </w:r>
      <w:r>
        <w:rPr>
          <w:b/>
          <w:bCs/>
          <w:sz w:val="32"/>
          <w:szCs w:val="38"/>
        </w:rPr>
        <w:tab/>
      </w:r>
      <w:r>
        <w:rPr>
          <w:sz w:val="32"/>
          <w:szCs w:val="38"/>
        </w:rPr>
        <w:t xml:space="preserve">      </w:t>
      </w:r>
      <w:r w:rsidRPr="00E22938">
        <w:rPr>
          <w:sz w:val="32"/>
          <w:szCs w:val="38"/>
        </w:rPr>
        <w:t xml:space="preserve">DEH </w:t>
      </w:r>
      <w:r w:rsidRPr="0047591B">
        <w:rPr>
          <w:sz w:val="32"/>
          <w:szCs w:val="38"/>
        </w:rPr>
        <w:t>472</w:t>
      </w:r>
    </w:p>
    <w:p w:rsidR="00747848" w:rsidRDefault="00747848" w:rsidP="00747848">
      <w:pPr>
        <w:bidi w:val="0"/>
        <w:spacing w:line="360" w:lineRule="auto"/>
        <w:jc w:val="lowKashida"/>
        <w:rPr>
          <w:b/>
          <w:bCs/>
          <w:sz w:val="32"/>
          <w:szCs w:val="38"/>
        </w:rPr>
      </w:pPr>
    </w:p>
    <w:p w:rsidR="00747848" w:rsidRPr="0047591B" w:rsidRDefault="00747848" w:rsidP="00747848">
      <w:pPr>
        <w:tabs>
          <w:tab w:val="left" w:pos="3119"/>
          <w:tab w:val="left" w:pos="3686"/>
        </w:tabs>
        <w:bidi w:val="0"/>
        <w:spacing w:line="360" w:lineRule="auto"/>
        <w:jc w:val="both"/>
        <w:rPr>
          <w:sz w:val="32"/>
          <w:szCs w:val="38"/>
        </w:rPr>
      </w:pPr>
      <w:r>
        <w:rPr>
          <w:b/>
          <w:bCs/>
          <w:sz w:val="32"/>
          <w:szCs w:val="38"/>
        </w:rPr>
        <w:t>Credit Hours         :</w:t>
      </w:r>
      <w:r>
        <w:rPr>
          <w:b/>
          <w:bCs/>
          <w:sz w:val="32"/>
          <w:szCs w:val="38"/>
        </w:rPr>
        <w:tab/>
      </w:r>
      <w:r w:rsidRPr="00E22938">
        <w:rPr>
          <w:b/>
          <w:bCs/>
          <w:sz w:val="32"/>
          <w:szCs w:val="38"/>
        </w:rPr>
        <w:t xml:space="preserve">   </w:t>
      </w:r>
      <w:r w:rsidRPr="0047591B">
        <w:rPr>
          <w:sz w:val="32"/>
          <w:szCs w:val="38"/>
        </w:rPr>
        <w:t>1 + 1 = 2</w:t>
      </w:r>
    </w:p>
    <w:p w:rsidR="00747848" w:rsidRDefault="00747848" w:rsidP="00747848">
      <w:pPr>
        <w:bidi w:val="0"/>
        <w:spacing w:line="360" w:lineRule="auto"/>
        <w:jc w:val="lowKashida"/>
        <w:rPr>
          <w:b/>
          <w:bCs/>
          <w:sz w:val="32"/>
          <w:szCs w:val="38"/>
        </w:rPr>
      </w:pPr>
    </w:p>
    <w:p w:rsidR="00747848" w:rsidRDefault="00747848" w:rsidP="00747848">
      <w:pPr>
        <w:bidi w:val="0"/>
        <w:spacing w:line="360" w:lineRule="auto"/>
        <w:jc w:val="lowKashida"/>
        <w:rPr>
          <w:sz w:val="32"/>
          <w:szCs w:val="38"/>
        </w:rPr>
      </w:pPr>
      <w:r w:rsidRPr="008B3FBF">
        <w:rPr>
          <w:b/>
          <w:bCs/>
          <w:sz w:val="32"/>
          <w:szCs w:val="38"/>
        </w:rPr>
        <w:t>Pre-</w:t>
      </w:r>
      <w:r>
        <w:rPr>
          <w:b/>
          <w:bCs/>
          <w:sz w:val="32"/>
          <w:szCs w:val="38"/>
        </w:rPr>
        <w:t>R</w:t>
      </w:r>
      <w:r w:rsidRPr="008B3FBF">
        <w:rPr>
          <w:b/>
          <w:bCs/>
          <w:sz w:val="32"/>
          <w:szCs w:val="38"/>
        </w:rPr>
        <w:t>equ</w:t>
      </w:r>
      <w:r>
        <w:rPr>
          <w:b/>
          <w:bCs/>
          <w:sz w:val="32"/>
          <w:szCs w:val="38"/>
        </w:rPr>
        <w:t>i</w:t>
      </w:r>
      <w:r w:rsidRPr="008B3FBF">
        <w:rPr>
          <w:b/>
          <w:bCs/>
          <w:sz w:val="32"/>
          <w:szCs w:val="38"/>
        </w:rPr>
        <w:t>s</w:t>
      </w:r>
      <w:r>
        <w:rPr>
          <w:b/>
          <w:bCs/>
          <w:sz w:val="32"/>
          <w:szCs w:val="38"/>
        </w:rPr>
        <w:t>i</w:t>
      </w:r>
      <w:r w:rsidRPr="008B3FBF">
        <w:rPr>
          <w:b/>
          <w:bCs/>
          <w:sz w:val="32"/>
          <w:szCs w:val="38"/>
        </w:rPr>
        <w:t>t</w:t>
      </w:r>
      <w:r>
        <w:rPr>
          <w:b/>
          <w:bCs/>
          <w:sz w:val="32"/>
          <w:szCs w:val="38"/>
        </w:rPr>
        <w:t xml:space="preserve">e        </w:t>
      </w:r>
      <w:r w:rsidRPr="00BE771C">
        <w:rPr>
          <w:b/>
          <w:bCs/>
          <w:sz w:val="32"/>
          <w:szCs w:val="38"/>
        </w:rPr>
        <w:t>:</w:t>
      </w:r>
      <w:r w:rsidRPr="00BE771C">
        <w:rPr>
          <w:sz w:val="32"/>
          <w:szCs w:val="38"/>
        </w:rPr>
        <w:t xml:space="preserve"> </w:t>
      </w:r>
      <w:r>
        <w:rPr>
          <w:rFonts w:cs="Arabic Transparent"/>
          <w:sz w:val="32"/>
          <w:szCs w:val="32"/>
          <w:lang w:val="fr-FR"/>
        </w:rPr>
        <w:t xml:space="preserve">        </w:t>
      </w:r>
      <w:r w:rsidRPr="0047591B">
        <w:rPr>
          <w:sz w:val="32"/>
          <w:szCs w:val="38"/>
        </w:rPr>
        <w:t>DEH 344, DEH 348</w:t>
      </w:r>
    </w:p>
    <w:p w:rsidR="00747848" w:rsidRDefault="00747848" w:rsidP="00747848">
      <w:pPr>
        <w:pStyle w:val="Heading1"/>
        <w:tabs>
          <w:tab w:val="left" w:pos="3119"/>
          <w:tab w:val="left" w:pos="3686"/>
        </w:tabs>
        <w:spacing w:line="360" w:lineRule="auto"/>
        <w:jc w:val="lowKashida"/>
        <w:rPr>
          <w:rFonts w:cs="Arabic Transparent"/>
          <w:sz w:val="28"/>
          <w:szCs w:val="28"/>
        </w:rPr>
      </w:pPr>
    </w:p>
    <w:p w:rsidR="00747848" w:rsidRPr="003F69EA" w:rsidRDefault="00747848" w:rsidP="00747848">
      <w:pPr>
        <w:bidi w:val="0"/>
        <w:spacing w:before="120" w:line="360" w:lineRule="auto"/>
        <w:jc w:val="both"/>
        <w:rPr>
          <w:b/>
          <w:bCs/>
          <w:sz w:val="32"/>
          <w:szCs w:val="32"/>
          <w:u w:val="single"/>
        </w:rPr>
      </w:pPr>
      <w:r w:rsidRPr="003F69EA">
        <w:rPr>
          <w:b/>
          <w:bCs/>
          <w:sz w:val="32"/>
          <w:szCs w:val="32"/>
          <w:u w:val="single"/>
        </w:rPr>
        <w:t>Course Description</w:t>
      </w:r>
      <w:r w:rsidRPr="003F69EA">
        <w:rPr>
          <w:b/>
          <w:bCs/>
          <w:sz w:val="32"/>
          <w:szCs w:val="32"/>
        </w:rPr>
        <w:t>:</w:t>
      </w:r>
    </w:p>
    <w:p w:rsidR="00747848" w:rsidRPr="007A4855" w:rsidRDefault="00747848" w:rsidP="00747848">
      <w:pPr>
        <w:tabs>
          <w:tab w:val="left" w:pos="3119"/>
          <w:tab w:val="left" w:pos="3686"/>
        </w:tabs>
        <w:bidi w:val="0"/>
        <w:spacing w:before="120" w:line="360" w:lineRule="auto"/>
        <w:ind w:firstLine="720"/>
        <w:jc w:val="both"/>
        <w:rPr>
          <w:rFonts w:cs="Arabic Transparent"/>
          <w:sz w:val="28"/>
          <w:szCs w:val="28"/>
        </w:rPr>
      </w:pPr>
      <w:r w:rsidRPr="007A4855">
        <w:rPr>
          <w:rFonts w:cs="Arabic Transparent"/>
          <w:sz w:val="28"/>
          <w:szCs w:val="28"/>
        </w:rPr>
        <w:t>Lecture and clinical instruction in the special requirements of oral hygiene procedures related to fixed and removable functional and non- functional orthodontic appliances as well as general preventive dental care for the child patient covering behavior management.</w:t>
      </w:r>
    </w:p>
    <w:p w:rsidR="00747848" w:rsidRPr="007A4855" w:rsidRDefault="00747848" w:rsidP="00747848">
      <w:pPr>
        <w:tabs>
          <w:tab w:val="left" w:pos="3119"/>
          <w:tab w:val="left" w:pos="3686"/>
        </w:tabs>
        <w:bidi w:val="0"/>
        <w:spacing w:before="120" w:line="360" w:lineRule="auto"/>
        <w:jc w:val="both"/>
        <w:rPr>
          <w:rFonts w:cs="Arabic Transparent"/>
          <w:b/>
          <w:bCs/>
          <w:sz w:val="28"/>
          <w:szCs w:val="28"/>
        </w:rPr>
      </w:pPr>
    </w:p>
    <w:p w:rsidR="00747848" w:rsidRPr="003F69EA" w:rsidRDefault="00747848" w:rsidP="00747848">
      <w:pPr>
        <w:bidi w:val="0"/>
        <w:spacing w:before="120" w:line="360" w:lineRule="auto"/>
        <w:jc w:val="both"/>
        <w:rPr>
          <w:b/>
          <w:bCs/>
          <w:sz w:val="32"/>
          <w:szCs w:val="32"/>
          <w:u w:val="single"/>
        </w:rPr>
      </w:pPr>
      <w:r w:rsidRPr="003F69EA">
        <w:rPr>
          <w:b/>
          <w:bCs/>
          <w:sz w:val="32"/>
          <w:szCs w:val="32"/>
          <w:u w:val="single"/>
        </w:rPr>
        <w:t>Objectives:</w:t>
      </w:r>
    </w:p>
    <w:p w:rsidR="00747848" w:rsidRPr="007A4855" w:rsidRDefault="00747848" w:rsidP="00747848">
      <w:pPr>
        <w:numPr>
          <w:ilvl w:val="0"/>
          <w:numId w:val="1"/>
        </w:numPr>
        <w:autoSpaceDE w:val="0"/>
        <w:autoSpaceDN w:val="0"/>
        <w:bidi w:val="0"/>
        <w:spacing w:before="120" w:line="360" w:lineRule="auto"/>
        <w:jc w:val="lowKashida"/>
        <w:rPr>
          <w:rFonts w:cs="Arabic Transparent"/>
          <w:sz w:val="28"/>
          <w:szCs w:val="28"/>
          <w:rtl/>
        </w:rPr>
      </w:pPr>
      <w:r w:rsidRPr="007A4855">
        <w:rPr>
          <w:rFonts w:cs="Arabic Transparent"/>
          <w:sz w:val="28"/>
          <w:szCs w:val="28"/>
        </w:rPr>
        <w:t>Student should understand to be behavior management when treating child patient</w:t>
      </w:r>
    </w:p>
    <w:p w:rsidR="00747848" w:rsidRPr="007A4855" w:rsidRDefault="00747848" w:rsidP="00747848">
      <w:pPr>
        <w:numPr>
          <w:ilvl w:val="0"/>
          <w:numId w:val="1"/>
        </w:numPr>
        <w:autoSpaceDE w:val="0"/>
        <w:autoSpaceDN w:val="0"/>
        <w:bidi w:val="0"/>
        <w:spacing w:before="120" w:line="360" w:lineRule="auto"/>
        <w:jc w:val="lowKashida"/>
        <w:rPr>
          <w:rFonts w:cs="Arabic Transparent"/>
          <w:sz w:val="28"/>
          <w:szCs w:val="28"/>
          <w:rtl/>
        </w:rPr>
      </w:pPr>
      <w:r w:rsidRPr="007A4855">
        <w:rPr>
          <w:rFonts w:cs="Arabic Transparent"/>
          <w:sz w:val="28"/>
          <w:szCs w:val="28"/>
        </w:rPr>
        <w:lastRenderedPageBreak/>
        <w:t xml:space="preserve">Be familiar child with the preventive procedures applied to child patient </w:t>
      </w:r>
    </w:p>
    <w:p w:rsidR="00747848" w:rsidRPr="007A4855" w:rsidRDefault="00747848" w:rsidP="00747848">
      <w:pPr>
        <w:numPr>
          <w:ilvl w:val="0"/>
          <w:numId w:val="1"/>
        </w:numPr>
        <w:autoSpaceDE w:val="0"/>
        <w:autoSpaceDN w:val="0"/>
        <w:bidi w:val="0"/>
        <w:spacing w:before="120" w:line="360" w:lineRule="auto"/>
        <w:jc w:val="lowKashida"/>
        <w:rPr>
          <w:rFonts w:cs="Arabic Transparent"/>
          <w:sz w:val="28"/>
          <w:szCs w:val="28"/>
          <w:rtl/>
        </w:rPr>
      </w:pPr>
      <w:r w:rsidRPr="007A4855">
        <w:rPr>
          <w:rFonts w:cs="Arabic Transparent"/>
          <w:sz w:val="28"/>
          <w:szCs w:val="28"/>
        </w:rPr>
        <w:t xml:space="preserve">Be able to recognize different carious lesion affecting child patient and who to preventive </w:t>
      </w:r>
    </w:p>
    <w:p w:rsidR="00747848" w:rsidRPr="007A4855" w:rsidRDefault="00747848" w:rsidP="00747848">
      <w:pPr>
        <w:numPr>
          <w:ilvl w:val="0"/>
          <w:numId w:val="1"/>
        </w:numPr>
        <w:autoSpaceDE w:val="0"/>
        <w:autoSpaceDN w:val="0"/>
        <w:bidi w:val="0"/>
        <w:spacing w:before="120" w:line="360" w:lineRule="auto"/>
        <w:jc w:val="lowKashida"/>
        <w:rPr>
          <w:rFonts w:cs="Arabic Transparent"/>
          <w:sz w:val="28"/>
          <w:szCs w:val="28"/>
          <w:rtl/>
        </w:rPr>
      </w:pPr>
      <w:r w:rsidRPr="007A4855">
        <w:rPr>
          <w:rFonts w:cs="Arabic Transparent"/>
          <w:sz w:val="28"/>
          <w:szCs w:val="28"/>
        </w:rPr>
        <w:t xml:space="preserve">Promote oral health care among parents and children of different age </w:t>
      </w:r>
    </w:p>
    <w:p w:rsidR="00747848" w:rsidRPr="007A4855" w:rsidRDefault="00747848" w:rsidP="00747848">
      <w:pPr>
        <w:spacing w:before="120" w:line="360" w:lineRule="auto"/>
        <w:jc w:val="right"/>
        <w:rPr>
          <w:rFonts w:cs="Arabic Transparent"/>
          <w:b/>
          <w:bCs/>
          <w:sz w:val="28"/>
          <w:szCs w:val="28"/>
          <w:rtl/>
        </w:rPr>
      </w:pPr>
    </w:p>
    <w:p w:rsidR="00747848" w:rsidRPr="003F69EA" w:rsidRDefault="00747848" w:rsidP="00747848">
      <w:pPr>
        <w:bidi w:val="0"/>
        <w:spacing w:before="120" w:line="360" w:lineRule="auto"/>
        <w:jc w:val="both"/>
        <w:rPr>
          <w:b/>
          <w:bCs/>
          <w:sz w:val="32"/>
          <w:szCs w:val="32"/>
          <w:u w:val="single"/>
        </w:rPr>
      </w:pPr>
      <w:r w:rsidRPr="003F69EA">
        <w:rPr>
          <w:b/>
          <w:bCs/>
          <w:sz w:val="32"/>
          <w:szCs w:val="32"/>
          <w:u w:val="single"/>
        </w:rPr>
        <w:t>Course Outline:</w:t>
      </w:r>
    </w:p>
    <w:p w:rsidR="00747848" w:rsidRPr="007A4855" w:rsidRDefault="00747848" w:rsidP="00747848">
      <w:pPr>
        <w:bidi w:val="0"/>
        <w:spacing w:before="120" w:line="360" w:lineRule="auto"/>
        <w:jc w:val="both"/>
        <w:rPr>
          <w:b/>
          <w:bCs/>
          <w:sz w:val="28"/>
          <w:szCs w:val="28"/>
          <w:u w:val="single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4"/>
        <w:gridCol w:w="1440"/>
      </w:tblGrid>
      <w:tr w:rsidR="00747848" w:rsidRPr="003F7641" w:rsidTr="0078638D">
        <w:tc>
          <w:tcPr>
            <w:tcW w:w="6974" w:type="dxa"/>
          </w:tcPr>
          <w:p w:rsidR="00747848" w:rsidRPr="003F7641" w:rsidRDefault="00747848" w:rsidP="0078638D">
            <w:pPr>
              <w:autoSpaceDE w:val="0"/>
              <w:autoSpaceDN w:val="0"/>
              <w:bidi w:val="0"/>
              <w:spacing w:before="120" w:line="36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  <w:r w:rsidRPr="003F7641">
              <w:rPr>
                <w:rFonts w:cs="Arabic Transparent"/>
                <w:sz w:val="28"/>
                <w:szCs w:val="28"/>
              </w:rPr>
              <w:t>Overview of course content, methodology, evaluation system and reference books</w:t>
            </w:r>
          </w:p>
        </w:tc>
        <w:tc>
          <w:tcPr>
            <w:tcW w:w="1440" w:type="dxa"/>
          </w:tcPr>
          <w:p w:rsidR="00747848" w:rsidRPr="003F7641" w:rsidRDefault="00747848" w:rsidP="0078638D">
            <w:pPr>
              <w:autoSpaceDE w:val="0"/>
              <w:autoSpaceDN w:val="0"/>
              <w:spacing w:before="120" w:line="360" w:lineRule="auto"/>
              <w:jc w:val="right"/>
              <w:rPr>
                <w:rFonts w:cs="Arabic Transparent"/>
                <w:b/>
                <w:bCs/>
                <w:sz w:val="32"/>
                <w:szCs w:val="32"/>
              </w:rPr>
            </w:pPr>
            <w:r w:rsidRPr="003F7641">
              <w:rPr>
                <w:rFonts w:cs="Arabic Transparent"/>
                <w:b/>
                <w:bCs/>
                <w:sz w:val="32"/>
                <w:szCs w:val="32"/>
              </w:rPr>
              <w:t>Week 1</w:t>
            </w:r>
          </w:p>
        </w:tc>
      </w:tr>
      <w:tr w:rsidR="00747848" w:rsidRPr="003F7641" w:rsidTr="0078638D">
        <w:tc>
          <w:tcPr>
            <w:tcW w:w="6974" w:type="dxa"/>
          </w:tcPr>
          <w:p w:rsidR="00747848" w:rsidRPr="003F7641" w:rsidRDefault="00747848" w:rsidP="0078638D">
            <w:pPr>
              <w:autoSpaceDE w:val="0"/>
              <w:autoSpaceDN w:val="0"/>
              <w:bidi w:val="0"/>
              <w:spacing w:before="120" w:line="36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  <w:r w:rsidRPr="003F7641">
              <w:rPr>
                <w:rFonts w:cs="Arabic Transparent"/>
                <w:sz w:val="28"/>
                <w:szCs w:val="28"/>
              </w:rPr>
              <w:t>Pregnancy; factors harm the fetus, treatment consideration, mother's diet, dental caries control</w:t>
            </w:r>
          </w:p>
        </w:tc>
        <w:tc>
          <w:tcPr>
            <w:tcW w:w="1440" w:type="dxa"/>
          </w:tcPr>
          <w:p w:rsidR="00747848" w:rsidRPr="003F7641" w:rsidRDefault="00747848" w:rsidP="0078638D">
            <w:pPr>
              <w:autoSpaceDE w:val="0"/>
              <w:autoSpaceDN w:val="0"/>
              <w:spacing w:before="120" w:line="360" w:lineRule="auto"/>
              <w:jc w:val="right"/>
              <w:rPr>
                <w:rFonts w:cs="Arabic Transparent"/>
                <w:b/>
                <w:bCs/>
                <w:sz w:val="32"/>
                <w:szCs w:val="32"/>
              </w:rPr>
            </w:pPr>
            <w:r w:rsidRPr="003F7641">
              <w:rPr>
                <w:rFonts w:cs="Arabic Transparent"/>
                <w:b/>
                <w:bCs/>
                <w:sz w:val="32"/>
                <w:szCs w:val="32"/>
              </w:rPr>
              <w:t>Week 2</w:t>
            </w:r>
          </w:p>
        </w:tc>
      </w:tr>
      <w:tr w:rsidR="00747848" w:rsidRPr="003F7641" w:rsidTr="0078638D">
        <w:tc>
          <w:tcPr>
            <w:tcW w:w="6974" w:type="dxa"/>
          </w:tcPr>
          <w:p w:rsidR="00747848" w:rsidRPr="003F7641" w:rsidRDefault="00747848" w:rsidP="0078638D">
            <w:pPr>
              <w:autoSpaceDE w:val="0"/>
              <w:autoSpaceDN w:val="0"/>
              <w:bidi w:val="0"/>
              <w:spacing w:before="120" w:line="36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  <w:r w:rsidRPr="003F7641">
              <w:rPr>
                <w:rFonts w:cs="Arabic Transparent"/>
                <w:sz w:val="28"/>
                <w:szCs w:val="28"/>
              </w:rPr>
              <w:t>Infant and toddler oral health, prenatal anticipatory guidance, first dental hygiene visit, examination of child mouth, objectives</w:t>
            </w:r>
          </w:p>
        </w:tc>
        <w:tc>
          <w:tcPr>
            <w:tcW w:w="1440" w:type="dxa"/>
          </w:tcPr>
          <w:p w:rsidR="00747848" w:rsidRPr="003F7641" w:rsidRDefault="00747848" w:rsidP="0078638D">
            <w:pPr>
              <w:autoSpaceDE w:val="0"/>
              <w:autoSpaceDN w:val="0"/>
              <w:spacing w:before="120" w:line="360" w:lineRule="auto"/>
              <w:jc w:val="right"/>
              <w:rPr>
                <w:rFonts w:cs="Arabic Transparent"/>
                <w:b/>
                <w:bCs/>
                <w:sz w:val="32"/>
                <w:szCs w:val="32"/>
              </w:rPr>
            </w:pPr>
            <w:r w:rsidRPr="003F7641">
              <w:rPr>
                <w:rFonts w:cs="Arabic Transparent"/>
                <w:b/>
                <w:bCs/>
                <w:sz w:val="32"/>
                <w:szCs w:val="32"/>
              </w:rPr>
              <w:t>Week 3</w:t>
            </w:r>
          </w:p>
        </w:tc>
      </w:tr>
      <w:tr w:rsidR="00747848" w:rsidRPr="003F7641" w:rsidTr="0078638D">
        <w:tc>
          <w:tcPr>
            <w:tcW w:w="6974" w:type="dxa"/>
          </w:tcPr>
          <w:p w:rsidR="00747848" w:rsidRPr="003F7641" w:rsidRDefault="00747848" w:rsidP="0078638D">
            <w:pPr>
              <w:autoSpaceDE w:val="0"/>
              <w:autoSpaceDN w:val="0"/>
              <w:bidi w:val="0"/>
              <w:spacing w:before="120" w:line="36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  <w:r w:rsidRPr="003F7641">
              <w:rPr>
                <w:rFonts w:cs="Arabic Transparent"/>
                <w:sz w:val="28"/>
                <w:szCs w:val="28"/>
              </w:rPr>
              <w:t xml:space="preserve">psychological management of children's behaviors, physical development, social development, variables influence child dental behaviors, behaviors rating scale, parents of pediatric patient </w:t>
            </w:r>
          </w:p>
        </w:tc>
        <w:tc>
          <w:tcPr>
            <w:tcW w:w="1440" w:type="dxa"/>
          </w:tcPr>
          <w:p w:rsidR="00747848" w:rsidRPr="003F7641" w:rsidRDefault="00747848" w:rsidP="0078638D">
            <w:pPr>
              <w:autoSpaceDE w:val="0"/>
              <w:autoSpaceDN w:val="0"/>
              <w:spacing w:before="120" w:line="360" w:lineRule="auto"/>
              <w:jc w:val="right"/>
              <w:rPr>
                <w:rFonts w:cs="Arabic Transparent"/>
                <w:b/>
                <w:bCs/>
                <w:sz w:val="32"/>
                <w:szCs w:val="32"/>
              </w:rPr>
            </w:pPr>
            <w:r w:rsidRPr="003F7641">
              <w:rPr>
                <w:rFonts w:cs="Arabic Transparent"/>
                <w:b/>
                <w:bCs/>
                <w:sz w:val="32"/>
                <w:szCs w:val="32"/>
              </w:rPr>
              <w:t>Week 4</w:t>
            </w:r>
          </w:p>
        </w:tc>
      </w:tr>
      <w:tr w:rsidR="00747848" w:rsidRPr="003F7641" w:rsidTr="0078638D">
        <w:tc>
          <w:tcPr>
            <w:tcW w:w="6974" w:type="dxa"/>
          </w:tcPr>
          <w:p w:rsidR="00747848" w:rsidRPr="003F7641" w:rsidRDefault="00747848" w:rsidP="0078638D">
            <w:pPr>
              <w:autoSpaceDE w:val="0"/>
              <w:autoSpaceDN w:val="0"/>
              <w:bidi w:val="0"/>
              <w:spacing w:before="120" w:line="36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  <w:r w:rsidRPr="003F7641">
              <w:rPr>
                <w:rFonts w:cs="Arabic Transparent"/>
                <w:sz w:val="28"/>
                <w:szCs w:val="28"/>
              </w:rPr>
              <w:t>Psychological management; strategies of the dental team, fundamental of behavior management, behavior shaping model</w:t>
            </w:r>
          </w:p>
        </w:tc>
        <w:tc>
          <w:tcPr>
            <w:tcW w:w="1440" w:type="dxa"/>
          </w:tcPr>
          <w:p w:rsidR="00747848" w:rsidRPr="003F7641" w:rsidRDefault="00747848" w:rsidP="0078638D">
            <w:pPr>
              <w:autoSpaceDE w:val="0"/>
              <w:autoSpaceDN w:val="0"/>
              <w:spacing w:before="120" w:line="360" w:lineRule="auto"/>
              <w:jc w:val="right"/>
              <w:rPr>
                <w:rFonts w:cs="Arabic Transparent"/>
                <w:b/>
                <w:bCs/>
                <w:sz w:val="32"/>
                <w:szCs w:val="32"/>
              </w:rPr>
            </w:pPr>
            <w:r w:rsidRPr="003F7641">
              <w:rPr>
                <w:rFonts w:cs="Arabic Transparent"/>
                <w:b/>
                <w:bCs/>
                <w:sz w:val="32"/>
                <w:szCs w:val="32"/>
              </w:rPr>
              <w:t>Week 5</w:t>
            </w:r>
          </w:p>
        </w:tc>
      </w:tr>
      <w:tr w:rsidR="00747848" w:rsidRPr="003F7641" w:rsidTr="0078638D">
        <w:tc>
          <w:tcPr>
            <w:tcW w:w="6974" w:type="dxa"/>
          </w:tcPr>
          <w:p w:rsidR="00747848" w:rsidRPr="003F7641" w:rsidRDefault="006066AA" w:rsidP="0078638D">
            <w:pPr>
              <w:autoSpaceDE w:val="0"/>
              <w:autoSpaceDN w:val="0"/>
              <w:bidi w:val="0"/>
              <w:spacing w:before="120" w:line="36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  <w:r w:rsidRPr="003F7641">
              <w:rPr>
                <w:rFonts w:cs="Arabic Transparent"/>
                <w:sz w:val="28"/>
                <w:szCs w:val="28"/>
              </w:rPr>
              <w:t>Midterm</w:t>
            </w:r>
            <w:r w:rsidR="00747848" w:rsidRPr="003F7641">
              <w:rPr>
                <w:rFonts w:cs="Arabic Transparent"/>
                <w:sz w:val="28"/>
                <w:szCs w:val="28"/>
              </w:rPr>
              <w:t xml:space="preserve"> exam 1</w:t>
            </w:r>
          </w:p>
        </w:tc>
        <w:tc>
          <w:tcPr>
            <w:tcW w:w="1440" w:type="dxa"/>
          </w:tcPr>
          <w:p w:rsidR="00747848" w:rsidRPr="003F7641" w:rsidRDefault="00747848" w:rsidP="0078638D">
            <w:pPr>
              <w:autoSpaceDE w:val="0"/>
              <w:autoSpaceDN w:val="0"/>
              <w:spacing w:before="120" w:line="360" w:lineRule="auto"/>
              <w:jc w:val="right"/>
              <w:rPr>
                <w:rFonts w:cs="Arabic Transparent"/>
                <w:b/>
                <w:bCs/>
                <w:sz w:val="32"/>
                <w:szCs w:val="32"/>
              </w:rPr>
            </w:pPr>
            <w:r w:rsidRPr="003F7641">
              <w:rPr>
                <w:rFonts w:cs="Arabic Transparent"/>
                <w:b/>
                <w:bCs/>
                <w:sz w:val="32"/>
                <w:szCs w:val="32"/>
              </w:rPr>
              <w:t>Week 6</w:t>
            </w:r>
          </w:p>
        </w:tc>
      </w:tr>
      <w:tr w:rsidR="00747848" w:rsidRPr="003F7641" w:rsidTr="0078638D">
        <w:tc>
          <w:tcPr>
            <w:tcW w:w="6974" w:type="dxa"/>
          </w:tcPr>
          <w:p w:rsidR="00747848" w:rsidRPr="003F7641" w:rsidRDefault="00747848" w:rsidP="0078638D">
            <w:pPr>
              <w:autoSpaceDE w:val="0"/>
              <w:autoSpaceDN w:val="0"/>
              <w:bidi w:val="0"/>
              <w:spacing w:before="120" w:line="36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  <w:r w:rsidRPr="003F7641">
              <w:rPr>
                <w:rFonts w:cs="Arabic Transparent"/>
                <w:sz w:val="28"/>
                <w:szCs w:val="28"/>
              </w:rPr>
              <w:t xml:space="preserve">Dental caries in the child and adolescent, caries prevalence </w:t>
            </w:r>
            <w:r w:rsidRPr="003F7641">
              <w:rPr>
                <w:rFonts w:cs="Arabic Transparent"/>
                <w:sz w:val="28"/>
                <w:szCs w:val="28"/>
              </w:rPr>
              <w:lastRenderedPageBreak/>
              <w:t>in preschool children, in school children, caries in primary dentition, in mixed dentition, in young permanent dentition, prevalence of caries in children in Saudi Arabia</w:t>
            </w:r>
          </w:p>
        </w:tc>
        <w:tc>
          <w:tcPr>
            <w:tcW w:w="1440" w:type="dxa"/>
          </w:tcPr>
          <w:p w:rsidR="00747848" w:rsidRPr="003F7641" w:rsidRDefault="00747848" w:rsidP="0078638D">
            <w:pPr>
              <w:autoSpaceDE w:val="0"/>
              <w:autoSpaceDN w:val="0"/>
              <w:spacing w:before="120" w:line="360" w:lineRule="auto"/>
              <w:jc w:val="right"/>
              <w:rPr>
                <w:rFonts w:cs="Arabic Transparent"/>
                <w:b/>
                <w:bCs/>
                <w:sz w:val="32"/>
                <w:szCs w:val="32"/>
              </w:rPr>
            </w:pPr>
            <w:r w:rsidRPr="003F7641">
              <w:rPr>
                <w:rFonts w:cs="Arabic Transparent"/>
                <w:b/>
                <w:bCs/>
                <w:sz w:val="32"/>
                <w:szCs w:val="32"/>
              </w:rPr>
              <w:lastRenderedPageBreak/>
              <w:t>Week 7</w:t>
            </w:r>
          </w:p>
        </w:tc>
      </w:tr>
      <w:tr w:rsidR="00747848" w:rsidRPr="003F7641" w:rsidTr="0078638D">
        <w:tc>
          <w:tcPr>
            <w:tcW w:w="6974" w:type="dxa"/>
          </w:tcPr>
          <w:p w:rsidR="00747848" w:rsidRPr="003F7641" w:rsidRDefault="00747848" w:rsidP="0078638D">
            <w:pPr>
              <w:autoSpaceDE w:val="0"/>
              <w:autoSpaceDN w:val="0"/>
              <w:bidi w:val="0"/>
              <w:spacing w:before="120" w:line="36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  <w:r w:rsidRPr="003F7641">
              <w:rPr>
                <w:rFonts w:cs="Arabic Transparent"/>
                <w:sz w:val="28"/>
                <w:szCs w:val="28"/>
              </w:rPr>
              <w:lastRenderedPageBreak/>
              <w:t>Control of dental caries in children, use of fluoride, good oral hygiene, restorative dentistry, pit and fissure sealant</w:t>
            </w:r>
          </w:p>
        </w:tc>
        <w:tc>
          <w:tcPr>
            <w:tcW w:w="1440" w:type="dxa"/>
          </w:tcPr>
          <w:p w:rsidR="00747848" w:rsidRPr="003F7641" w:rsidRDefault="00747848" w:rsidP="0078638D">
            <w:pPr>
              <w:autoSpaceDE w:val="0"/>
              <w:autoSpaceDN w:val="0"/>
              <w:spacing w:before="120" w:line="360" w:lineRule="auto"/>
              <w:jc w:val="right"/>
              <w:rPr>
                <w:rFonts w:cs="Arabic Transparent"/>
                <w:b/>
                <w:bCs/>
                <w:sz w:val="32"/>
                <w:szCs w:val="32"/>
              </w:rPr>
            </w:pPr>
            <w:r w:rsidRPr="003F7641">
              <w:rPr>
                <w:rFonts w:cs="Arabic Transparent"/>
                <w:b/>
                <w:bCs/>
                <w:sz w:val="32"/>
                <w:szCs w:val="32"/>
              </w:rPr>
              <w:t>Week 8</w:t>
            </w:r>
          </w:p>
        </w:tc>
      </w:tr>
      <w:tr w:rsidR="00747848" w:rsidRPr="003F7641" w:rsidTr="0078638D">
        <w:tc>
          <w:tcPr>
            <w:tcW w:w="6974" w:type="dxa"/>
          </w:tcPr>
          <w:p w:rsidR="00747848" w:rsidRPr="003F7641" w:rsidRDefault="00747848" w:rsidP="0078638D">
            <w:pPr>
              <w:autoSpaceDE w:val="0"/>
              <w:autoSpaceDN w:val="0"/>
              <w:bidi w:val="0"/>
              <w:spacing w:before="120" w:line="36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  <w:r w:rsidRPr="003F7641">
              <w:rPr>
                <w:rFonts w:cs="Arabic Transparent"/>
                <w:sz w:val="28"/>
                <w:szCs w:val="28"/>
              </w:rPr>
              <w:t>Mechanical home oral hygiene, preventive dentistry, plaque control methods, brushing, flossing</w:t>
            </w:r>
          </w:p>
        </w:tc>
        <w:tc>
          <w:tcPr>
            <w:tcW w:w="1440" w:type="dxa"/>
          </w:tcPr>
          <w:p w:rsidR="00747848" w:rsidRPr="003F7641" w:rsidRDefault="00747848" w:rsidP="0078638D">
            <w:pPr>
              <w:autoSpaceDE w:val="0"/>
              <w:autoSpaceDN w:val="0"/>
              <w:spacing w:before="120" w:line="360" w:lineRule="auto"/>
              <w:jc w:val="right"/>
              <w:rPr>
                <w:rFonts w:cs="Arabic Transparent"/>
                <w:b/>
                <w:bCs/>
                <w:sz w:val="32"/>
                <w:szCs w:val="32"/>
              </w:rPr>
            </w:pPr>
            <w:r w:rsidRPr="003F7641">
              <w:rPr>
                <w:rFonts w:cs="Arabic Transparent"/>
                <w:b/>
                <w:bCs/>
                <w:sz w:val="32"/>
                <w:szCs w:val="32"/>
              </w:rPr>
              <w:t>Week 9</w:t>
            </w:r>
          </w:p>
        </w:tc>
      </w:tr>
      <w:tr w:rsidR="00747848" w:rsidRPr="003F7641" w:rsidTr="0078638D">
        <w:tc>
          <w:tcPr>
            <w:tcW w:w="6974" w:type="dxa"/>
          </w:tcPr>
          <w:p w:rsidR="00747848" w:rsidRPr="003F7641" w:rsidRDefault="00747848" w:rsidP="0078638D">
            <w:pPr>
              <w:autoSpaceDE w:val="0"/>
              <w:autoSpaceDN w:val="0"/>
              <w:bidi w:val="0"/>
              <w:spacing w:before="120" w:line="36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  <w:r w:rsidRPr="003F7641">
              <w:rPr>
                <w:rFonts w:cs="Arabic Transparent"/>
                <w:sz w:val="28"/>
                <w:szCs w:val="28"/>
              </w:rPr>
              <w:t xml:space="preserve">Dentifrices; function, quantity of tooth </w:t>
            </w:r>
            <w:proofErr w:type="spellStart"/>
            <w:r w:rsidRPr="003F7641">
              <w:rPr>
                <w:rFonts w:cs="Arabic Transparent"/>
                <w:sz w:val="28"/>
                <w:szCs w:val="28"/>
              </w:rPr>
              <w:t>past</w:t>
            </w:r>
            <w:proofErr w:type="spellEnd"/>
            <w:r w:rsidRPr="003F7641">
              <w:rPr>
                <w:rFonts w:cs="Arabic Transparent"/>
                <w:sz w:val="28"/>
                <w:szCs w:val="28"/>
              </w:rPr>
              <w:t>, disclosing agent, other adjacent for plaque control, method of tooth brushing</w:t>
            </w:r>
          </w:p>
        </w:tc>
        <w:tc>
          <w:tcPr>
            <w:tcW w:w="1440" w:type="dxa"/>
          </w:tcPr>
          <w:p w:rsidR="00747848" w:rsidRPr="003F7641" w:rsidRDefault="00747848" w:rsidP="0078638D">
            <w:pPr>
              <w:autoSpaceDE w:val="0"/>
              <w:autoSpaceDN w:val="0"/>
              <w:spacing w:before="120" w:line="360" w:lineRule="auto"/>
              <w:jc w:val="right"/>
              <w:rPr>
                <w:rFonts w:cs="Arabic Transparent"/>
                <w:b/>
                <w:bCs/>
                <w:sz w:val="32"/>
                <w:szCs w:val="32"/>
              </w:rPr>
            </w:pPr>
            <w:r w:rsidRPr="003F7641">
              <w:rPr>
                <w:rFonts w:cs="Arabic Transparent"/>
                <w:b/>
                <w:bCs/>
                <w:sz w:val="32"/>
                <w:szCs w:val="32"/>
              </w:rPr>
              <w:t>Week 10</w:t>
            </w:r>
          </w:p>
        </w:tc>
      </w:tr>
      <w:tr w:rsidR="00747848" w:rsidRPr="003F7641" w:rsidTr="0078638D">
        <w:tc>
          <w:tcPr>
            <w:tcW w:w="6974" w:type="dxa"/>
          </w:tcPr>
          <w:p w:rsidR="00747848" w:rsidRPr="003F7641" w:rsidRDefault="00747848" w:rsidP="0078638D">
            <w:pPr>
              <w:autoSpaceDE w:val="0"/>
              <w:autoSpaceDN w:val="0"/>
              <w:bidi w:val="0"/>
              <w:spacing w:before="120" w:line="36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  <w:r w:rsidRPr="003F7641">
              <w:rPr>
                <w:rFonts w:cs="Arabic Transparent"/>
                <w:sz w:val="28"/>
                <w:szCs w:val="28"/>
              </w:rPr>
              <w:t>Chemotherapeutic plaque control, antiseptic agent, use of chlorohexidine in children</w:t>
            </w:r>
          </w:p>
        </w:tc>
        <w:tc>
          <w:tcPr>
            <w:tcW w:w="1440" w:type="dxa"/>
          </w:tcPr>
          <w:p w:rsidR="00747848" w:rsidRPr="003F7641" w:rsidRDefault="00747848" w:rsidP="0078638D">
            <w:pPr>
              <w:autoSpaceDE w:val="0"/>
              <w:autoSpaceDN w:val="0"/>
              <w:spacing w:before="120" w:line="360" w:lineRule="auto"/>
              <w:jc w:val="right"/>
              <w:rPr>
                <w:rFonts w:cs="Arabic Transparent"/>
                <w:b/>
                <w:bCs/>
                <w:sz w:val="32"/>
                <w:szCs w:val="32"/>
              </w:rPr>
            </w:pPr>
            <w:r w:rsidRPr="003F7641">
              <w:rPr>
                <w:rFonts w:cs="Arabic Transparent"/>
                <w:b/>
                <w:bCs/>
                <w:sz w:val="32"/>
                <w:szCs w:val="32"/>
              </w:rPr>
              <w:t>Week 11</w:t>
            </w:r>
          </w:p>
        </w:tc>
      </w:tr>
      <w:tr w:rsidR="00747848" w:rsidRPr="003F7641" w:rsidTr="0078638D">
        <w:tc>
          <w:tcPr>
            <w:tcW w:w="6974" w:type="dxa"/>
          </w:tcPr>
          <w:p w:rsidR="00747848" w:rsidRPr="003F7641" w:rsidRDefault="00747848" w:rsidP="0078638D">
            <w:pPr>
              <w:autoSpaceDE w:val="0"/>
              <w:autoSpaceDN w:val="0"/>
              <w:bidi w:val="0"/>
              <w:spacing w:before="120" w:line="36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  <w:r w:rsidRPr="003F7641">
              <w:rPr>
                <w:rFonts w:cs="Arabic Transparent"/>
                <w:sz w:val="28"/>
                <w:szCs w:val="28"/>
              </w:rPr>
              <w:t>Age-specific home oral hygiene instruction, prenatal counseling, infants, toddlers, preschool, school age, adolescent, in-office oral hygiene program</w:t>
            </w:r>
          </w:p>
        </w:tc>
        <w:tc>
          <w:tcPr>
            <w:tcW w:w="1440" w:type="dxa"/>
          </w:tcPr>
          <w:p w:rsidR="00747848" w:rsidRPr="003F7641" w:rsidRDefault="00747848" w:rsidP="0078638D">
            <w:pPr>
              <w:autoSpaceDE w:val="0"/>
              <w:autoSpaceDN w:val="0"/>
              <w:spacing w:before="120" w:line="360" w:lineRule="auto"/>
              <w:jc w:val="right"/>
              <w:rPr>
                <w:rFonts w:cs="Arabic Transparent"/>
                <w:b/>
                <w:bCs/>
                <w:sz w:val="32"/>
                <w:szCs w:val="32"/>
              </w:rPr>
            </w:pPr>
            <w:r w:rsidRPr="003F7641">
              <w:rPr>
                <w:rFonts w:cs="Arabic Transparent"/>
                <w:b/>
                <w:bCs/>
                <w:sz w:val="32"/>
                <w:szCs w:val="32"/>
              </w:rPr>
              <w:t>Week 12</w:t>
            </w:r>
          </w:p>
        </w:tc>
      </w:tr>
      <w:tr w:rsidR="00747848" w:rsidRPr="003F7641" w:rsidTr="0078638D">
        <w:tc>
          <w:tcPr>
            <w:tcW w:w="6974" w:type="dxa"/>
          </w:tcPr>
          <w:p w:rsidR="00747848" w:rsidRPr="003F7641" w:rsidRDefault="00747848" w:rsidP="0078638D">
            <w:pPr>
              <w:autoSpaceDE w:val="0"/>
              <w:autoSpaceDN w:val="0"/>
              <w:bidi w:val="0"/>
              <w:spacing w:before="120" w:line="36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  <w:r w:rsidRPr="003F7641">
              <w:rPr>
                <w:rFonts w:cs="Arabic Transparent"/>
                <w:sz w:val="28"/>
                <w:szCs w:val="28"/>
              </w:rPr>
              <w:t>Pit and fissure sealant's, the national survey of dental caries in school children, clinical trials, potential problems, rationale for utilization of sealants</w:t>
            </w:r>
          </w:p>
        </w:tc>
        <w:tc>
          <w:tcPr>
            <w:tcW w:w="1440" w:type="dxa"/>
          </w:tcPr>
          <w:p w:rsidR="00747848" w:rsidRPr="003F7641" w:rsidRDefault="00747848" w:rsidP="0078638D">
            <w:pPr>
              <w:autoSpaceDE w:val="0"/>
              <w:autoSpaceDN w:val="0"/>
              <w:spacing w:before="120" w:line="360" w:lineRule="auto"/>
              <w:jc w:val="right"/>
              <w:rPr>
                <w:rFonts w:cs="Arabic Transparent"/>
                <w:b/>
                <w:bCs/>
                <w:sz w:val="32"/>
                <w:szCs w:val="32"/>
              </w:rPr>
            </w:pPr>
            <w:r w:rsidRPr="003F7641">
              <w:rPr>
                <w:rFonts w:cs="Arabic Transparent"/>
                <w:b/>
                <w:bCs/>
                <w:sz w:val="32"/>
                <w:szCs w:val="32"/>
              </w:rPr>
              <w:t>Week 13</w:t>
            </w:r>
          </w:p>
        </w:tc>
      </w:tr>
      <w:tr w:rsidR="00747848" w:rsidRPr="003F7641" w:rsidTr="0078638D">
        <w:tc>
          <w:tcPr>
            <w:tcW w:w="6974" w:type="dxa"/>
          </w:tcPr>
          <w:p w:rsidR="00747848" w:rsidRPr="003F7641" w:rsidRDefault="006066AA" w:rsidP="0078638D">
            <w:pPr>
              <w:autoSpaceDE w:val="0"/>
              <w:autoSpaceDN w:val="0"/>
              <w:bidi w:val="0"/>
              <w:spacing w:before="120" w:line="36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  <w:r w:rsidRPr="003F7641">
              <w:rPr>
                <w:rFonts w:cs="Arabic Transparent"/>
                <w:sz w:val="28"/>
                <w:szCs w:val="28"/>
              </w:rPr>
              <w:t>Midterm</w:t>
            </w:r>
            <w:r w:rsidR="00747848" w:rsidRPr="003F7641">
              <w:rPr>
                <w:rFonts w:cs="Arabic Transparent"/>
                <w:sz w:val="28"/>
                <w:szCs w:val="28"/>
              </w:rPr>
              <w:t xml:space="preserve"> exam 2</w:t>
            </w:r>
          </w:p>
        </w:tc>
        <w:tc>
          <w:tcPr>
            <w:tcW w:w="1440" w:type="dxa"/>
          </w:tcPr>
          <w:p w:rsidR="00747848" w:rsidRPr="003F7641" w:rsidRDefault="00747848" w:rsidP="0078638D">
            <w:pPr>
              <w:autoSpaceDE w:val="0"/>
              <w:autoSpaceDN w:val="0"/>
              <w:spacing w:before="120" w:line="360" w:lineRule="auto"/>
              <w:jc w:val="right"/>
              <w:rPr>
                <w:rFonts w:cs="Arabic Transparent"/>
                <w:b/>
                <w:bCs/>
                <w:sz w:val="32"/>
                <w:szCs w:val="32"/>
              </w:rPr>
            </w:pPr>
            <w:r w:rsidRPr="003F7641">
              <w:rPr>
                <w:rFonts w:cs="Arabic Transparent"/>
                <w:b/>
                <w:bCs/>
                <w:sz w:val="32"/>
                <w:szCs w:val="32"/>
              </w:rPr>
              <w:t>Week 14</w:t>
            </w:r>
          </w:p>
        </w:tc>
      </w:tr>
      <w:tr w:rsidR="00747848" w:rsidRPr="003F7641" w:rsidTr="0078638D">
        <w:tc>
          <w:tcPr>
            <w:tcW w:w="6974" w:type="dxa"/>
          </w:tcPr>
          <w:p w:rsidR="00747848" w:rsidRPr="003F7641" w:rsidRDefault="00747848" w:rsidP="0078638D">
            <w:pPr>
              <w:autoSpaceDE w:val="0"/>
              <w:autoSpaceDN w:val="0"/>
              <w:spacing w:before="120" w:line="360" w:lineRule="auto"/>
              <w:jc w:val="right"/>
              <w:rPr>
                <w:rFonts w:cs="Arabic Transparent"/>
                <w:sz w:val="28"/>
                <w:szCs w:val="28"/>
                <w:rtl/>
              </w:rPr>
            </w:pPr>
            <w:r w:rsidRPr="003F7641">
              <w:rPr>
                <w:rFonts w:cs="Arabic Transparent"/>
                <w:sz w:val="28"/>
                <w:szCs w:val="28"/>
              </w:rPr>
              <w:t xml:space="preserve">Community oral health among school children </w:t>
            </w:r>
          </w:p>
        </w:tc>
        <w:tc>
          <w:tcPr>
            <w:tcW w:w="1440" w:type="dxa"/>
          </w:tcPr>
          <w:p w:rsidR="00747848" w:rsidRPr="003F7641" w:rsidRDefault="00747848" w:rsidP="0078638D">
            <w:pPr>
              <w:autoSpaceDE w:val="0"/>
              <w:autoSpaceDN w:val="0"/>
              <w:spacing w:before="120" w:line="360" w:lineRule="auto"/>
              <w:jc w:val="right"/>
              <w:rPr>
                <w:rFonts w:cs="Arabic Transparent"/>
                <w:b/>
                <w:bCs/>
                <w:sz w:val="32"/>
                <w:szCs w:val="32"/>
              </w:rPr>
            </w:pPr>
            <w:r w:rsidRPr="003F7641">
              <w:rPr>
                <w:rFonts w:cs="Arabic Transparent"/>
                <w:b/>
                <w:bCs/>
                <w:sz w:val="32"/>
                <w:szCs w:val="32"/>
              </w:rPr>
              <w:t>Week 15</w:t>
            </w:r>
          </w:p>
        </w:tc>
      </w:tr>
      <w:tr w:rsidR="00747848" w:rsidRPr="003F7641" w:rsidTr="0078638D">
        <w:tc>
          <w:tcPr>
            <w:tcW w:w="6974" w:type="dxa"/>
          </w:tcPr>
          <w:p w:rsidR="00747848" w:rsidRPr="003F7641" w:rsidRDefault="00747848" w:rsidP="0078638D">
            <w:pPr>
              <w:autoSpaceDE w:val="0"/>
              <w:autoSpaceDN w:val="0"/>
              <w:spacing w:before="120" w:line="360" w:lineRule="auto"/>
              <w:jc w:val="right"/>
              <w:rPr>
                <w:rFonts w:cs="Arabic Transparent"/>
                <w:sz w:val="28"/>
                <w:szCs w:val="28"/>
                <w:rtl/>
              </w:rPr>
            </w:pPr>
            <w:r w:rsidRPr="003F7641">
              <w:rPr>
                <w:rFonts w:cs="Arabic Transparent"/>
                <w:sz w:val="28"/>
                <w:szCs w:val="28"/>
              </w:rPr>
              <w:t>Revision</w:t>
            </w:r>
          </w:p>
        </w:tc>
        <w:tc>
          <w:tcPr>
            <w:tcW w:w="1440" w:type="dxa"/>
          </w:tcPr>
          <w:p w:rsidR="00747848" w:rsidRPr="003F7641" w:rsidRDefault="00747848" w:rsidP="0078638D">
            <w:pPr>
              <w:autoSpaceDE w:val="0"/>
              <w:autoSpaceDN w:val="0"/>
              <w:spacing w:before="120" w:line="360" w:lineRule="auto"/>
              <w:jc w:val="right"/>
              <w:rPr>
                <w:rFonts w:cs="Arabic Transparent"/>
                <w:b/>
                <w:bCs/>
                <w:sz w:val="32"/>
                <w:szCs w:val="32"/>
              </w:rPr>
            </w:pPr>
            <w:r w:rsidRPr="003F7641">
              <w:rPr>
                <w:rFonts w:cs="Arabic Transparent"/>
                <w:b/>
                <w:bCs/>
                <w:sz w:val="32"/>
                <w:szCs w:val="32"/>
              </w:rPr>
              <w:t>Week 16</w:t>
            </w:r>
          </w:p>
        </w:tc>
      </w:tr>
      <w:tr w:rsidR="00747848" w:rsidRPr="003F7641" w:rsidTr="0078638D">
        <w:tc>
          <w:tcPr>
            <w:tcW w:w="6974" w:type="dxa"/>
          </w:tcPr>
          <w:p w:rsidR="00747848" w:rsidRPr="003F7641" w:rsidRDefault="00747848" w:rsidP="0078638D">
            <w:pPr>
              <w:autoSpaceDE w:val="0"/>
              <w:autoSpaceDN w:val="0"/>
              <w:spacing w:before="120" w:line="360" w:lineRule="auto"/>
              <w:jc w:val="right"/>
              <w:rPr>
                <w:rFonts w:cs="Arabic Transparent"/>
                <w:sz w:val="28"/>
                <w:szCs w:val="28"/>
                <w:rtl/>
              </w:rPr>
            </w:pPr>
            <w:r w:rsidRPr="003F7641">
              <w:rPr>
                <w:rFonts w:cs="Arabic Transparent"/>
                <w:sz w:val="28"/>
                <w:szCs w:val="28"/>
              </w:rPr>
              <w:t xml:space="preserve">Final exam   </w:t>
            </w:r>
          </w:p>
        </w:tc>
        <w:tc>
          <w:tcPr>
            <w:tcW w:w="1440" w:type="dxa"/>
          </w:tcPr>
          <w:p w:rsidR="00747848" w:rsidRPr="003F7641" w:rsidRDefault="00747848" w:rsidP="0078638D">
            <w:pPr>
              <w:autoSpaceDE w:val="0"/>
              <w:autoSpaceDN w:val="0"/>
              <w:spacing w:before="120" w:line="360" w:lineRule="auto"/>
              <w:jc w:val="right"/>
              <w:rPr>
                <w:rFonts w:cs="Arabic Transparent"/>
                <w:b/>
                <w:bCs/>
                <w:sz w:val="32"/>
                <w:szCs w:val="32"/>
              </w:rPr>
            </w:pPr>
            <w:r w:rsidRPr="003F7641">
              <w:rPr>
                <w:rFonts w:cs="Arabic Transparent"/>
                <w:b/>
                <w:bCs/>
                <w:sz w:val="32"/>
                <w:szCs w:val="32"/>
              </w:rPr>
              <w:t>Week 17</w:t>
            </w:r>
          </w:p>
        </w:tc>
      </w:tr>
    </w:tbl>
    <w:p w:rsidR="00747848" w:rsidRDefault="00747848" w:rsidP="00747848">
      <w:pPr>
        <w:tabs>
          <w:tab w:val="left" w:pos="6780"/>
        </w:tabs>
        <w:bidi w:val="0"/>
        <w:spacing w:before="120" w:line="360" w:lineRule="auto"/>
        <w:jc w:val="both"/>
        <w:rPr>
          <w:rFonts w:cs="Arabic Transparent"/>
          <w:b/>
          <w:bCs/>
          <w:sz w:val="28"/>
          <w:szCs w:val="28"/>
        </w:rPr>
      </w:pPr>
    </w:p>
    <w:p w:rsidR="00747848" w:rsidRDefault="00747848" w:rsidP="00747848">
      <w:pPr>
        <w:tabs>
          <w:tab w:val="left" w:pos="6780"/>
        </w:tabs>
        <w:bidi w:val="0"/>
        <w:spacing w:before="120" w:line="360" w:lineRule="auto"/>
        <w:jc w:val="both"/>
        <w:rPr>
          <w:rFonts w:cs="Arabic Transparent"/>
          <w:b/>
          <w:bCs/>
          <w:sz w:val="28"/>
          <w:szCs w:val="28"/>
        </w:rPr>
      </w:pPr>
    </w:p>
    <w:p w:rsidR="00747848" w:rsidRPr="007A4855" w:rsidRDefault="00747848" w:rsidP="00747848">
      <w:pPr>
        <w:tabs>
          <w:tab w:val="left" w:pos="6780"/>
        </w:tabs>
        <w:bidi w:val="0"/>
        <w:spacing w:before="120" w:line="360" w:lineRule="auto"/>
        <w:jc w:val="both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</w:rPr>
        <w:tab/>
      </w:r>
    </w:p>
    <w:p w:rsidR="00747848" w:rsidRPr="003F69EA" w:rsidRDefault="00747848" w:rsidP="00747848">
      <w:pPr>
        <w:bidi w:val="0"/>
        <w:spacing w:before="120" w:line="360" w:lineRule="auto"/>
        <w:jc w:val="both"/>
        <w:rPr>
          <w:b/>
          <w:bCs/>
          <w:sz w:val="32"/>
          <w:szCs w:val="32"/>
          <w:u w:val="single"/>
        </w:rPr>
      </w:pPr>
      <w:r w:rsidRPr="003F69EA">
        <w:rPr>
          <w:b/>
          <w:bCs/>
          <w:sz w:val="32"/>
          <w:szCs w:val="32"/>
          <w:u w:val="single"/>
        </w:rPr>
        <w:lastRenderedPageBreak/>
        <w:t>Teaching Method:</w:t>
      </w:r>
    </w:p>
    <w:p w:rsidR="00747848" w:rsidRPr="007B5C4D" w:rsidRDefault="00747848" w:rsidP="00747848">
      <w:pPr>
        <w:numPr>
          <w:ilvl w:val="0"/>
          <w:numId w:val="2"/>
        </w:numPr>
        <w:autoSpaceDE w:val="0"/>
        <w:autoSpaceDN w:val="0"/>
        <w:bidi w:val="0"/>
        <w:spacing w:before="120" w:line="360" w:lineRule="auto"/>
        <w:jc w:val="lowKashida"/>
        <w:rPr>
          <w:rFonts w:cs="Arabic Transparent"/>
          <w:sz w:val="28"/>
          <w:szCs w:val="28"/>
        </w:rPr>
      </w:pPr>
      <w:r w:rsidRPr="007B5C4D">
        <w:rPr>
          <w:rFonts w:cs="Arabic Transparent"/>
          <w:sz w:val="28"/>
          <w:szCs w:val="28"/>
        </w:rPr>
        <w:t>Classroom lectures</w:t>
      </w:r>
    </w:p>
    <w:p w:rsidR="00747848" w:rsidRPr="007B5C4D" w:rsidRDefault="00747848" w:rsidP="00747848">
      <w:pPr>
        <w:numPr>
          <w:ilvl w:val="0"/>
          <w:numId w:val="2"/>
        </w:numPr>
        <w:autoSpaceDE w:val="0"/>
        <w:autoSpaceDN w:val="0"/>
        <w:bidi w:val="0"/>
        <w:spacing w:before="120" w:line="360" w:lineRule="auto"/>
        <w:jc w:val="lowKashida"/>
        <w:rPr>
          <w:rFonts w:cs="Arabic Transparent"/>
          <w:sz w:val="28"/>
          <w:szCs w:val="28"/>
        </w:rPr>
      </w:pPr>
      <w:r w:rsidRPr="007B5C4D">
        <w:rPr>
          <w:rFonts w:cs="Arabic Transparent"/>
          <w:sz w:val="28"/>
          <w:szCs w:val="28"/>
        </w:rPr>
        <w:t xml:space="preserve">Clinical session in </w:t>
      </w:r>
      <w:smartTag w:uri="urn:schemas-microsoft-com:office:smarttags" w:element="place">
        <w:smartTag w:uri="urn:schemas-microsoft-com:office:smarttags" w:element="PlaceType">
          <w:r>
            <w:rPr>
              <w:rFonts w:cs="Arabic Transparent"/>
              <w:sz w:val="28"/>
              <w:szCs w:val="28"/>
            </w:rPr>
            <w:t>C</w:t>
          </w:r>
          <w:r w:rsidRPr="007B5C4D">
            <w:rPr>
              <w:rFonts w:cs="Arabic Transparent"/>
              <w:sz w:val="28"/>
              <w:szCs w:val="28"/>
            </w:rPr>
            <w:t>ollege</w:t>
          </w:r>
        </w:smartTag>
        <w:r>
          <w:rPr>
            <w:rFonts w:cs="Arabic Transparent"/>
            <w:sz w:val="28"/>
            <w:szCs w:val="28"/>
          </w:rPr>
          <w:t xml:space="preserve"> of </w:t>
        </w:r>
        <w:smartTag w:uri="urn:schemas-microsoft-com:office:smarttags" w:element="PlaceName">
          <w:r>
            <w:rPr>
              <w:rFonts w:cs="Arabic Transparent"/>
              <w:sz w:val="28"/>
              <w:szCs w:val="28"/>
            </w:rPr>
            <w:t>D</w:t>
          </w:r>
          <w:r w:rsidRPr="007B5C4D">
            <w:rPr>
              <w:rFonts w:cs="Arabic Transparent"/>
              <w:sz w:val="28"/>
              <w:szCs w:val="28"/>
            </w:rPr>
            <w:t>ent</w:t>
          </w:r>
          <w:r>
            <w:rPr>
              <w:rFonts w:cs="Arabic Transparent"/>
              <w:sz w:val="28"/>
              <w:szCs w:val="28"/>
            </w:rPr>
            <w:t>istry</w:t>
          </w:r>
        </w:smartTag>
      </w:smartTag>
      <w:r>
        <w:rPr>
          <w:rFonts w:cs="Arabic Transparent"/>
          <w:sz w:val="28"/>
          <w:szCs w:val="28"/>
        </w:rPr>
        <w:t>.</w:t>
      </w:r>
    </w:p>
    <w:p w:rsidR="00747848" w:rsidRPr="003F69EA" w:rsidRDefault="00747848" w:rsidP="00747848">
      <w:pPr>
        <w:bidi w:val="0"/>
        <w:spacing w:before="120" w:line="360" w:lineRule="auto"/>
        <w:jc w:val="both"/>
        <w:rPr>
          <w:b/>
          <w:bCs/>
          <w:sz w:val="32"/>
          <w:szCs w:val="32"/>
          <w:u w:val="single"/>
        </w:rPr>
      </w:pPr>
      <w:r w:rsidRPr="003F69EA">
        <w:rPr>
          <w:b/>
          <w:bCs/>
          <w:sz w:val="32"/>
          <w:szCs w:val="32"/>
          <w:u w:val="single"/>
        </w:rPr>
        <w:t>Evaluation:</w:t>
      </w:r>
    </w:p>
    <w:p w:rsidR="00747848" w:rsidRDefault="00747848" w:rsidP="00747848">
      <w:pPr>
        <w:bidi w:val="0"/>
        <w:spacing w:before="120" w:line="360" w:lineRule="auto"/>
        <w:jc w:val="lowKashida"/>
        <w:rPr>
          <w:rFonts w:cs="Arabic Transparent"/>
          <w:sz w:val="28"/>
          <w:szCs w:val="28"/>
        </w:rPr>
      </w:pPr>
      <w:r w:rsidRPr="007B5C4D">
        <w:rPr>
          <w:rFonts w:cs="Arabic Transparent"/>
          <w:sz w:val="28"/>
          <w:szCs w:val="28"/>
        </w:rPr>
        <w:t>2</w:t>
      </w:r>
      <w:r>
        <w:rPr>
          <w:rFonts w:cs="Arabic Transparent"/>
          <w:sz w:val="28"/>
          <w:szCs w:val="28"/>
        </w:rPr>
        <w:t xml:space="preserve"> </w:t>
      </w:r>
      <w:r w:rsidR="006066AA" w:rsidRPr="007B5C4D">
        <w:rPr>
          <w:rFonts w:cs="Arabic Transparent"/>
          <w:sz w:val="28"/>
          <w:szCs w:val="28"/>
        </w:rPr>
        <w:t>Midterm</w:t>
      </w:r>
      <w:r w:rsidRPr="007B5C4D">
        <w:rPr>
          <w:rFonts w:cs="Arabic Transparent"/>
          <w:sz w:val="28"/>
          <w:szCs w:val="28"/>
        </w:rPr>
        <w:t xml:space="preserve"> exams </w:t>
      </w:r>
      <w:r>
        <w:rPr>
          <w:rFonts w:cs="Arabic Transparent"/>
          <w:sz w:val="28"/>
          <w:szCs w:val="28"/>
        </w:rPr>
        <w:t xml:space="preserve">                                 </w:t>
      </w:r>
      <w:r w:rsidR="006066AA">
        <w:rPr>
          <w:rFonts w:cs="Arabic Transparent"/>
          <w:sz w:val="28"/>
          <w:szCs w:val="28"/>
        </w:rPr>
        <w:t xml:space="preserve">  </w:t>
      </w:r>
      <w:r>
        <w:rPr>
          <w:rFonts w:cs="Arabic Transparent"/>
          <w:sz w:val="28"/>
          <w:szCs w:val="28"/>
        </w:rPr>
        <w:t xml:space="preserve">   </w:t>
      </w:r>
      <w:r w:rsidRPr="007B5C4D">
        <w:rPr>
          <w:rFonts w:cs="Arabic Transparent"/>
          <w:sz w:val="28"/>
          <w:szCs w:val="28"/>
        </w:rPr>
        <w:t>40%</w:t>
      </w:r>
      <w:r>
        <w:rPr>
          <w:rFonts w:cs="Arabic Transparent"/>
          <w:sz w:val="28"/>
          <w:szCs w:val="28"/>
        </w:rPr>
        <w:t xml:space="preserve"> </w:t>
      </w:r>
      <w:r w:rsidRPr="007B5C4D">
        <w:rPr>
          <w:rFonts w:cs="Arabic Transparent"/>
          <w:sz w:val="28"/>
          <w:szCs w:val="28"/>
        </w:rPr>
        <w:t xml:space="preserve"> </w:t>
      </w:r>
      <w:r>
        <w:rPr>
          <w:rFonts w:cs="Arabic Transparent"/>
          <w:sz w:val="28"/>
          <w:szCs w:val="28"/>
        </w:rPr>
        <w:t xml:space="preserve"> </w:t>
      </w:r>
    </w:p>
    <w:p w:rsidR="00747848" w:rsidRPr="007B5C4D" w:rsidRDefault="00747848" w:rsidP="00747848">
      <w:pPr>
        <w:bidi w:val="0"/>
        <w:spacing w:before="120" w:line="360" w:lineRule="auto"/>
        <w:jc w:val="lowKashida"/>
        <w:rPr>
          <w:rFonts w:cs="Arabic Transparent"/>
          <w:sz w:val="28"/>
          <w:szCs w:val="28"/>
        </w:rPr>
      </w:pPr>
      <w:r w:rsidRPr="007B5C4D">
        <w:rPr>
          <w:rFonts w:cs="Arabic Transparent"/>
          <w:sz w:val="28"/>
          <w:szCs w:val="28"/>
        </w:rPr>
        <w:t xml:space="preserve">Clinic </w:t>
      </w:r>
      <w:r>
        <w:rPr>
          <w:rFonts w:cs="Arabic Transparent"/>
          <w:sz w:val="28"/>
          <w:szCs w:val="28"/>
        </w:rPr>
        <w:t xml:space="preserve">                                                        </w:t>
      </w:r>
      <w:r w:rsidRPr="007B5C4D">
        <w:rPr>
          <w:rFonts w:cs="Arabic Transparent"/>
          <w:sz w:val="28"/>
          <w:szCs w:val="28"/>
        </w:rPr>
        <w:t>20%</w:t>
      </w:r>
      <w:r>
        <w:rPr>
          <w:rFonts w:cs="Arabic Transparent"/>
          <w:sz w:val="28"/>
          <w:szCs w:val="28"/>
        </w:rPr>
        <w:t xml:space="preserve"> </w:t>
      </w:r>
      <w:r w:rsidRPr="007B5C4D">
        <w:rPr>
          <w:rFonts w:cs="Arabic Transparent"/>
          <w:sz w:val="28"/>
          <w:szCs w:val="28"/>
        </w:rPr>
        <w:t xml:space="preserve"> </w:t>
      </w:r>
      <w:r>
        <w:rPr>
          <w:rFonts w:cs="Arabic Transparent"/>
          <w:sz w:val="28"/>
          <w:szCs w:val="28"/>
        </w:rPr>
        <w:t xml:space="preserve"> </w:t>
      </w:r>
    </w:p>
    <w:p w:rsidR="00747848" w:rsidRPr="007B5C4D" w:rsidRDefault="00747848" w:rsidP="00747848">
      <w:pPr>
        <w:bidi w:val="0"/>
        <w:spacing w:before="120" w:line="360" w:lineRule="auto"/>
        <w:jc w:val="lowKashida"/>
        <w:rPr>
          <w:rFonts w:cs="Arabic Transparent"/>
          <w:sz w:val="28"/>
          <w:szCs w:val="28"/>
          <w:u w:val="single"/>
        </w:rPr>
      </w:pPr>
      <w:r w:rsidRPr="007B5C4D">
        <w:rPr>
          <w:rFonts w:cs="Arabic Transparent"/>
          <w:sz w:val="28"/>
          <w:szCs w:val="28"/>
          <w:u w:val="single"/>
        </w:rPr>
        <w:t xml:space="preserve">Final exam                                                </w:t>
      </w:r>
      <w:r>
        <w:rPr>
          <w:rFonts w:cs="Arabic Transparent"/>
          <w:sz w:val="28"/>
          <w:szCs w:val="28"/>
          <w:u w:val="single"/>
        </w:rPr>
        <w:t xml:space="preserve"> </w:t>
      </w:r>
      <w:r w:rsidRPr="007B5C4D">
        <w:rPr>
          <w:rFonts w:cs="Arabic Transparent"/>
          <w:sz w:val="28"/>
          <w:szCs w:val="28"/>
          <w:u w:val="single"/>
        </w:rPr>
        <w:t>40%</w:t>
      </w:r>
    </w:p>
    <w:p w:rsidR="00747848" w:rsidRPr="007A4855" w:rsidRDefault="00747848" w:rsidP="00747848">
      <w:pPr>
        <w:bidi w:val="0"/>
        <w:spacing w:before="120" w:line="360" w:lineRule="auto"/>
        <w:jc w:val="lowKashida"/>
        <w:rPr>
          <w:rFonts w:cs="Arabic Transparent"/>
          <w:b/>
          <w:bCs/>
          <w:sz w:val="28"/>
          <w:szCs w:val="28"/>
        </w:rPr>
      </w:pPr>
      <w:r w:rsidRPr="007B5C4D">
        <w:rPr>
          <w:rFonts w:cs="Arabic Transparent"/>
          <w:sz w:val="28"/>
          <w:szCs w:val="28"/>
        </w:rPr>
        <w:t xml:space="preserve">  Total                                                       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B5C4D">
        <w:rPr>
          <w:rFonts w:cs="Arabic Transparent"/>
          <w:sz w:val="28"/>
          <w:szCs w:val="28"/>
        </w:rPr>
        <w:t>100%</w:t>
      </w:r>
    </w:p>
    <w:p w:rsidR="00747848" w:rsidRPr="007A4855" w:rsidRDefault="00747848" w:rsidP="00747848">
      <w:pPr>
        <w:bidi w:val="0"/>
        <w:spacing w:before="120" w:line="360" w:lineRule="auto"/>
        <w:jc w:val="lowKashida"/>
        <w:rPr>
          <w:rFonts w:cs="Arabic Transparent"/>
          <w:b/>
          <w:bCs/>
          <w:sz w:val="28"/>
          <w:szCs w:val="28"/>
          <w:rtl/>
        </w:rPr>
      </w:pPr>
    </w:p>
    <w:p w:rsidR="00747848" w:rsidRPr="003F69EA" w:rsidRDefault="00747848" w:rsidP="00747848">
      <w:pPr>
        <w:bidi w:val="0"/>
        <w:spacing w:before="120" w:line="360" w:lineRule="auto"/>
        <w:jc w:val="both"/>
        <w:rPr>
          <w:b/>
          <w:bCs/>
          <w:sz w:val="32"/>
          <w:szCs w:val="32"/>
          <w:u w:val="single"/>
        </w:rPr>
      </w:pPr>
      <w:r w:rsidRPr="003F69EA">
        <w:rPr>
          <w:b/>
          <w:bCs/>
          <w:sz w:val="32"/>
          <w:szCs w:val="32"/>
          <w:u w:val="single"/>
        </w:rPr>
        <w:t>References:</w:t>
      </w:r>
    </w:p>
    <w:p w:rsidR="00747848" w:rsidRPr="007B5C4D" w:rsidRDefault="00747848" w:rsidP="00747848">
      <w:pPr>
        <w:numPr>
          <w:ilvl w:val="0"/>
          <w:numId w:val="3"/>
        </w:numPr>
        <w:autoSpaceDE w:val="0"/>
        <w:autoSpaceDN w:val="0"/>
        <w:bidi w:val="0"/>
        <w:spacing w:before="120" w:line="360" w:lineRule="auto"/>
        <w:jc w:val="lowKashida"/>
        <w:rPr>
          <w:rFonts w:cs="Arabic Transparent"/>
          <w:sz w:val="28"/>
          <w:szCs w:val="28"/>
        </w:rPr>
      </w:pPr>
      <w:r w:rsidRPr="007B5C4D">
        <w:rPr>
          <w:rFonts w:cs="Arabic Transparent"/>
          <w:sz w:val="28"/>
          <w:szCs w:val="28"/>
        </w:rPr>
        <w:t xml:space="preserve">Dentistry for the child and adolescent, </w:t>
      </w:r>
      <w:r>
        <w:rPr>
          <w:rFonts w:cs="Arabic Transparent"/>
          <w:sz w:val="28"/>
          <w:szCs w:val="28"/>
        </w:rPr>
        <w:t>6</w:t>
      </w:r>
      <w:r w:rsidRPr="007B5C4D">
        <w:rPr>
          <w:rFonts w:cs="Arabic Transparent"/>
          <w:sz w:val="28"/>
          <w:szCs w:val="28"/>
          <w:vertAlign w:val="superscript"/>
        </w:rPr>
        <w:t>th</w:t>
      </w:r>
      <w:r>
        <w:rPr>
          <w:rFonts w:cs="Arabic Transparent"/>
          <w:sz w:val="28"/>
          <w:szCs w:val="28"/>
        </w:rPr>
        <w:t xml:space="preserve"> </w:t>
      </w:r>
      <w:r w:rsidRPr="007B5C4D">
        <w:rPr>
          <w:rFonts w:cs="Arabic Transparent"/>
          <w:sz w:val="28"/>
          <w:szCs w:val="28"/>
        </w:rPr>
        <w:t>edition 1994 Mosby</w:t>
      </w:r>
      <w:r>
        <w:rPr>
          <w:rFonts w:cs="Arabic Transparent"/>
          <w:sz w:val="28"/>
          <w:szCs w:val="28"/>
        </w:rPr>
        <w:t>.</w:t>
      </w:r>
      <w:r w:rsidRPr="007B5C4D">
        <w:rPr>
          <w:rFonts w:cs="Arabic Transparent"/>
          <w:sz w:val="28"/>
          <w:szCs w:val="28"/>
        </w:rPr>
        <w:t xml:space="preserve"> By</w:t>
      </w:r>
      <w:r w:rsidRPr="007B5C4D">
        <w:rPr>
          <w:rFonts w:cs="Arabic Transparent" w:hint="cs"/>
          <w:sz w:val="28"/>
          <w:szCs w:val="28"/>
          <w:rtl/>
        </w:rPr>
        <w:t xml:space="preserve"> </w:t>
      </w:r>
      <w:r w:rsidRPr="007B5C4D">
        <w:rPr>
          <w:rFonts w:cs="Arabic Transparent"/>
          <w:sz w:val="28"/>
          <w:szCs w:val="28"/>
        </w:rPr>
        <w:t>Ralph E. Mc Donald and David R.</w:t>
      </w:r>
      <w:r w:rsidR="006066AA">
        <w:rPr>
          <w:rFonts w:cs="Arabic Transparent"/>
          <w:sz w:val="28"/>
          <w:szCs w:val="28"/>
        </w:rPr>
        <w:t xml:space="preserve"> </w:t>
      </w:r>
      <w:r w:rsidRPr="007B5C4D">
        <w:rPr>
          <w:rFonts w:cs="Arabic Transparent"/>
          <w:sz w:val="28"/>
          <w:szCs w:val="28"/>
        </w:rPr>
        <w:t>Avery</w:t>
      </w:r>
    </w:p>
    <w:p w:rsidR="00747848" w:rsidRDefault="00747848" w:rsidP="00747848">
      <w:pPr>
        <w:tabs>
          <w:tab w:val="left" w:pos="7946"/>
        </w:tabs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</w:rPr>
        <w:t xml:space="preserve">2. </w:t>
      </w:r>
      <w:r w:rsidRPr="007B5C4D">
        <w:rPr>
          <w:rFonts w:cs="Arabic Transparent"/>
          <w:sz w:val="28"/>
          <w:szCs w:val="28"/>
        </w:rPr>
        <w:t>Wilkins, E.M.</w:t>
      </w:r>
      <w:r>
        <w:rPr>
          <w:rFonts w:cs="Arabic Transparent"/>
          <w:sz w:val="28"/>
          <w:szCs w:val="28"/>
        </w:rPr>
        <w:t>:</w:t>
      </w:r>
      <w:r w:rsidRPr="007B5C4D">
        <w:rPr>
          <w:rFonts w:cs="Arabic Transparent"/>
          <w:sz w:val="28"/>
          <w:szCs w:val="28"/>
        </w:rPr>
        <w:t xml:space="preserve"> Clinical practice of the dental hygienists, </w:t>
      </w:r>
      <w:r>
        <w:rPr>
          <w:rFonts w:cs="Arabic Transparent"/>
          <w:sz w:val="28"/>
          <w:szCs w:val="28"/>
        </w:rPr>
        <w:t>8</w:t>
      </w:r>
      <w:r w:rsidRPr="007B5C4D">
        <w:rPr>
          <w:rFonts w:cs="Arabic Transparent"/>
          <w:sz w:val="28"/>
          <w:szCs w:val="28"/>
          <w:vertAlign w:val="superscript"/>
        </w:rPr>
        <w:t>th</w:t>
      </w:r>
      <w:r>
        <w:rPr>
          <w:rFonts w:cs="Arabic Transparent"/>
          <w:sz w:val="28"/>
          <w:szCs w:val="28"/>
        </w:rPr>
        <w:t xml:space="preserve"> </w:t>
      </w:r>
      <w:r w:rsidRPr="007B5C4D">
        <w:rPr>
          <w:rFonts w:cs="Arabic Transparent"/>
          <w:sz w:val="28"/>
          <w:szCs w:val="28"/>
        </w:rPr>
        <w:t xml:space="preserve">edition, </w:t>
      </w:r>
    </w:p>
    <w:p w:rsidR="007B2DFF" w:rsidRDefault="00747848" w:rsidP="00747848">
      <w:pPr>
        <w:tabs>
          <w:tab w:val="left" w:pos="7946"/>
        </w:tabs>
        <w:jc w:val="right"/>
      </w:pPr>
      <w:r w:rsidRPr="007B5C4D">
        <w:rPr>
          <w:rFonts w:cs="Arabic Transparent"/>
          <w:sz w:val="28"/>
          <w:szCs w:val="28"/>
        </w:rPr>
        <w:t>1999,</w:t>
      </w:r>
      <w:r w:rsidR="006066AA">
        <w:rPr>
          <w:rFonts w:cs="Arabic Transparent"/>
          <w:sz w:val="28"/>
          <w:szCs w:val="28"/>
        </w:rPr>
        <w:t xml:space="preserve"> </w:t>
      </w:r>
      <w:r w:rsidRPr="007B5C4D">
        <w:rPr>
          <w:rFonts w:cs="Arabic Transparent"/>
          <w:sz w:val="28"/>
          <w:szCs w:val="28"/>
        </w:rPr>
        <w:t xml:space="preserve"> Philadelphia. Lippincott Williams and Wilkins</w:t>
      </w:r>
      <w:r>
        <w:rPr>
          <w:rFonts w:hint="cs"/>
          <w:rtl/>
        </w:rPr>
        <w:t xml:space="preserve">    </w:t>
      </w:r>
      <w:r>
        <w:t xml:space="preserve">    </w:t>
      </w:r>
    </w:p>
    <w:sectPr w:rsidR="007B2DFF" w:rsidSect="00CD214B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07ED4"/>
    <w:multiLevelType w:val="hybridMultilevel"/>
    <w:tmpl w:val="9FECCA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8242C3"/>
    <w:multiLevelType w:val="hybridMultilevel"/>
    <w:tmpl w:val="C770980A"/>
    <w:lvl w:ilvl="0" w:tplc="A14423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Cs/>
        <w:iCs w:val="0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9D1A31"/>
    <w:multiLevelType w:val="hybridMultilevel"/>
    <w:tmpl w:val="F82AFC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47848"/>
    <w:rsid w:val="006066AA"/>
    <w:rsid w:val="00676FF6"/>
    <w:rsid w:val="00747848"/>
    <w:rsid w:val="007B2DFF"/>
    <w:rsid w:val="00CD214B"/>
    <w:rsid w:val="00EF1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84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7848"/>
    <w:pPr>
      <w:keepNext/>
      <w:tabs>
        <w:tab w:val="right" w:pos="3261"/>
        <w:tab w:val="right" w:pos="3828"/>
      </w:tabs>
      <w:autoSpaceDE w:val="0"/>
      <w:autoSpaceDN w:val="0"/>
      <w:bidi w:val="0"/>
      <w:outlineLvl w:val="0"/>
    </w:pPr>
    <w:rPr>
      <w:rFonts w:cs="Traditional Arab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7848"/>
    <w:rPr>
      <w:rFonts w:ascii="Times New Roman" w:eastAsia="Times New Roman" w:hAnsi="Times New Roman" w:cs="Traditional Arabic"/>
      <w:sz w:val="24"/>
      <w:szCs w:val="24"/>
    </w:rPr>
  </w:style>
  <w:style w:type="paragraph" w:styleId="ListParagraph">
    <w:name w:val="List Paragraph"/>
    <w:basedOn w:val="Normal"/>
    <w:uiPriority w:val="34"/>
    <w:qFormat/>
    <w:rsid w:val="00747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505</Words>
  <Characters>2881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WELCOME</cp:lastModifiedBy>
  <cp:revision>2</cp:revision>
  <dcterms:created xsi:type="dcterms:W3CDTF">2012-06-05T19:36:00Z</dcterms:created>
  <dcterms:modified xsi:type="dcterms:W3CDTF">2012-06-05T19:36:00Z</dcterms:modified>
</cp:coreProperties>
</file>