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</w:pPr>
      <w:r>
        <w:rPr>
          <w:b w:val="0"/>
          <w:bCs w:val="0"/>
          <w:sz w:val="24"/>
          <w:szCs w:val="24"/>
          <w:rtl w:val="1"/>
          <w:lang w:val="ar-SA" w:bidi="ar-SA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-106679</wp:posOffset>
                </wp:positionV>
                <wp:extent cx="1417320" cy="79248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792481"/>
                          <a:chOff x="0" y="0"/>
                          <a:chExt cx="1417319" cy="7924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17320" cy="792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417320" cy="7924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  <w:bidi w:val="1"/>
                                <w:ind w:left="0" w:right="0" w:firstLine="0"/>
                                <w:jc w:val="center"/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  <w:rtl w:val="1"/>
                                </w:rPr>
                              </w:pP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cs w:val="1"/>
                                  <w:lang w:val="en-US" w:bidi="ar-SA"/>
                                </w:rPr>
                                <w:t>جامعة  الملك سعود</w:t>
                              </w:r>
                            </w:p>
                            <w:p>
                              <w:pPr>
                                <w:pStyle w:val="Normal"/>
                                <w:bidi w:val="1"/>
                                <w:ind w:left="0" w:right="0" w:firstLine="0"/>
                                <w:jc w:val="center"/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  <w:rtl w:val="1"/>
                                </w:rPr>
                              </w:pP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cs w:val="1"/>
                                  <w:lang w:val="en-US" w:bidi="ar-SA"/>
                                </w:rPr>
                                <w:t>كلية إدارة الأعمال</w:t>
                              </w:r>
                            </w:p>
                            <w:p>
                              <w:pPr>
                                <w:pStyle w:val="Normal"/>
                                <w:bidi w:val="1"/>
                                <w:ind w:left="0" w:right="0" w:firstLine="0"/>
                                <w:jc w:val="center"/>
                                <w:rPr>
                                  <w:rtl w:val="1"/>
                                </w:rPr>
                              </w:pP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cs w:val="1"/>
                                  <w:lang w:val="en-US" w:bidi="ar-SA"/>
                                </w:rPr>
                                <w:t>قسم المحاسبة</w:t>
                              </w:r>
                              <w:r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  <w:rtl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12.2pt;margin-top:-8.4pt;width:111.6pt;height:62.4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417320,792480">
                <w10:wrap type="through" side="bothSides" anchorx="text"/>
                <v:rect id="_x0000_s1027" style="position:absolute;left:0;top:0;width:1417320;height:7924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417320;height:7924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bidi w:val="1"/>
                          <w:ind w:left="0" w:right="0" w:firstLine="0"/>
                          <w:jc w:val="center"/>
                          <w:rPr>
                            <w:b w:val="1"/>
                            <w:bCs w:val="1"/>
                            <w:sz w:val="22"/>
                            <w:szCs w:val="22"/>
                            <w:rtl w:val="1"/>
                          </w:rPr>
                        </w:pP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2"/>
                            <w:szCs w:val="22"/>
                            <w:rtl w:val="0"/>
                            <w:cs w:val="1"/>
                            <w:lang w:val="en-US" w:bidi="ar-SA"/>
                          </w:rPr>
                          <w:t>جامعة  الملك سعود</w:t>
                        </w:r>
                      </w:p>
                      <w:p>
                        <w:pPr>
                          <w:pStyle w:val="Normal"/>
                          <w:bidi w:val="1"/>
                          <w:ind w:left="0" w:right="0" w:firstLine="0"/>
                          <w:jc w:val="center"/>
                          <w:rPr>
                            <w:b w:val="1"/>
                            <w:bCs w:val="1"/>
                            <w:sz w:val="22"/>
                            <w:szCs w:val="22"/>
                            <w:rtl w:val="1"/>
                          </w:rPr>
                        </w:pP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2"/>
                            <w:szCs w:val="22"/>
                            <w:rtl w:val="0"/>
                            <w:cs w:val="1"/>
                            <w:lang w:val="en-US" w:bidi="ar-SA"/>
                          </w:rPr>
                          <w:t>كلية إدارة الأعمال</w:t>
                        </w:r>
                      </w:p>
                      <w:p>
                        <w:pPr>
                          <w:pStyle w:val="Normal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2"/>
                            <w:szCs w:val="22"/>
                            <w:rtl w:val="0"/>
                            <w:cs w:val="1"/>
                            <w:lang w:val="en-US" w:bidi="ar-SA"/>
                          </w:rPr>
                          <w:t>قسم المحاسبة</w:t>
                        </w:r>
                        <w:r>
                          <w:rPr>
                            <w:b w:val="1"/>
                            <w:bCs w:val="1"/>
                            <w:sz w:val="22"/>
                            <w:szCs w:val="22"/>
                            <w:rtl w:val="1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0"/>
          <w:bCs w:val="0"/>
          <w:sz w:val="24"/>
          <w:szCs w:val="24"/>
          <w:rtl w:val="1"/>
          <w:lang w:val="ar-SA" w:bidi="ar-SA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line">
                  <wp:posOffset>-152399</wp:posOffset>
                </wp:positionV>
                <wp:extent cx="2751262" cy="96774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262" cy="967740"/>
                          <a:chOff x="0" y="0"/>
                          <a:chExt cx="2751261" cy="96773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2751263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2751263" cy="9677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Simplified Arabic" w:cs="Simplified Arabic" w:hAnsi="Simplified Arabic" w:eastAsia="Simplified Arabic"/>
                                  <w:b w:val="1"/>
                                  <w:bCs w:val="1"/>
                                  <w:sz w:val="20"/>
                                  <w:szCs w:val="20"/>
                                  <w:rtl w:val="1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cs w:val="1"/>
                                  <w:lang w:val="en-US" w:bidi="ar-SA"/>
                                </w:rPr>
                                <w:t xml:space="preserve">أستاذة المادة </w:t>
                              </w:r>
                              <w:r>
                                <w:rPr>
                                  <w:rFonts w:ascii="Simplified Arabic" w:cs="Simplified Arabic" w:hAnsi="Simplified Arabic" w:eastAsia="Simplified Arabic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cs w:val="1"/>
                                  <w:lang w:val="en-US" w:bidi="ar-SA"/>
                                </w:rPr>
                                <w:t>أضوى عبدالرحمن النعيم</w:t>
                              </w:r>
                            </w:p>
                            <w:p>
                              <w:pPr>
                                <w:pStyle w:val="Normal"/>
                                <w:jc w:val="right"/>
                                <w:rPr>
                                  <w:b w:val="1"/>
                                  <w:bCs w:val="1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Hyperlink.0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http://fac.ksu.edu.sa/aalnaim1</w:t>
                                </w:r>
                              </w:hyperlink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cs w:val="1"/>
                                  <w:lang w:val="ar-SA" w:bidi="ar-SA"/>
                                </w:rPr>
                                <w:t>الموقع الإلكتروني</w:t>
                              </w:r>
                              <w:r>
                                <w:rPr>
                                  <w:rFonts w:ascii="Simplified Arabic" w:cs="Simplified Arabic" w:hAnsi="Simplified Arabic" w:eastAsia="Simplified Arabic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ar-SA" w:bidi="ar-SA"/>
                                </w:rPr>
                                <w:t xml:space="preserve">: </w:t>
                              </w:r>
                            </w:p>
                            <w:p>
                              <w:pPr>
                                <w:pStyle w:val="Normal"/>
                                <w:jc w:val="right"/>
                                <w:rPr>
                                  <w:b w:val="1"/>
                                  <w:bCs w:val="1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.0"/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aalnaim1@ksu.edu.sa</w:t>
                                </w:r>
                              </w:hyperlink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cs w:val="1"/>
                                  <w:lang w:val="ar-SA" w:bidi="ar-SA"/>
                                </w:rPr>
                                <w:t xml:space="preserve">البريد الجامعي </w:t>
                              </w:r>
                              <w:r>
                                <w:rPr>
                                  <w:rFonts w:ascii="Simplified Arabic" w:cs="Simplified Arabic" w:hAnsi="Simplified Arabic" w:eastAsia="Simplified Arabic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ar-SA" w:bidi="ar-SA"/>
                                </w:rPr>
                                <w:t xml:space="preserve">: </w:t>
                              </w:r>
                            </w:p>
                            <w:p>
                              <w:pPr>
                                <w:pStyle w:val="Normal"/>
                                <w:jc w:val="right"/>
                              </w:pP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 xml:space="preserve"> S35 </w:t>
                              </w: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cs w:val="1"/>
                                  <w:lang w:val="ar-SA" w:bidi="ar-SA"/>
                                </w:rPr>
                                <w:t xml:space="preserve">رقم المكتب </w:t>
                              </w:r>
                              <w:r>
                                <w:rPr>
                                  <w:rFonts w:ascii="Simplified Arabic" w:cs="Simplified Arabic" w:hAnsi="Simplified Arabic" w:eastAsia="Simplified Arabic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ar-SA" w:bidi="ar-SA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.3pt;margin-top:-12.0pt;width:216.6pt;height:76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751261,967740">
                <w10:wrap type="topAndBottom" side="bothSides" anchorx="margin"/>
                <v:rect id="_x0000_s1030" style="position:absolute;left:0;top:0;width:2751261;height:9677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2751261;height:96774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bidi w:val="1"/>
                          <w:ind w:left="0" w:right="0" w:firstLine="0"/>
                          <w:jc w:val="left"/>
                          <w:rPr>
                            <w:rFonts w:ascii="Simplified Arabic" w:cs="Simplified Arabic" w:hAnsi="Simplified Arabic" w:eastAsia="Simplified Arabic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0"/>
                            <w:szCs w:val="20"/>
                            <w:rtl w:val="0"/>
                            <w:cs w:val="1"/>
                            <w:lang w:val="en-US" w:bidi="ar-SA"/>
                          </w:rPr>
                          <w:t xml:space="preserve">أستاذة المادة </w:t>
                        </w:r>
                        <w:r>
                          <w:rPr>
                            <w:rFonts w:ascii="Simplified Arabic" w:cs="Simplified Arabic" w:hAnsi="Simplified Arabic" w:eastAsia="Simplified Arabic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 w:bidi="ar-SA"/>
                          </w:rPr>
                          <w:t xml:space="preserve">: </w:t>
                        </w: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0"/>
                            <w:szCs w:val="20"/>
                            <w:rtl w:val="0"/>
                            <w:cs w:val="1"/>
                            <w:lang w:val="en-US" w:bidi="ar-SA"/>
                          </w:rPr>
                          <w:t>أضوى عبدالرحمن النعيم</w:t>
                        </w:r>
                      </w:p>
                      <w:p>
                        <w:pPr>
                          <w:pStyle w:val="Normal"/>
                          <w:jc w:val="right"/>
                          <w:rPr>
                            <w:b w:val="1"/>
                            <w:bCs w:val="1"/>
                          </w:rPr>
                        </w:pPr>
                        <w:hyperlink r:id="rId4" w:history="1">
                          <w:r>
                            <w:rPr>
                              <w:rStyle w:val="Hyperlink.0"/>
                              <w:b w:val="1"/>
                              <w:bCs w:val="1"/>
                              <w:rtl w:val="0"/>
                              <w:lang w:val="en-US"/>
                            </w:rPr>
                            <w:t>http://fac.ksu.edu.sa/aalnaim1</w:t>
                          </w:r>
                        </w:hyperlink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0"/>
                            <w:szCs w:val="20"/>
                            <w:rtl w:val="0"/>
                            <w:cs w:val="1"/>
                            <w:lang w:val="ar-SA" w:bidi="ar-SA"/>
                          </w:rPr>
                          <w:t>الموقع الإلكتروني</w:t>
                        </w:r>
                        <w:r>
                          <w:rPr>
                            <w:rFonts w:ascii="Simplified Arabic" w:cs="Simplified Arabic" w:hAnsi="Simplified Arabic" w:eastAsia="Simplified Arabic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ar-SA" w:bidi="ar-SA"/>
                          </w:rPr>
                          <w:t xml:space="preserve">: </w:t>
                        </w:r>
                      </w:p>
                      <w:p>
                        <w:pPr>
                          <w:pStyle w:val="Normal"/>
                          <w:jc w:val="right"/>
                          <w:rPr>
                            <w:b w:val="1"/>
                            <w:bCs w:val="1"/>
                          </w:rPr>
                        </w:pPr>
                        <w:hyperlink r:id="rId5" w:history="1">
                          <w:r>
                            <w:rPr>
                              <w:rStyle w:val="Hyperlink.0"/>
                              <w:b w:val="1"/>
                              <w:bCs w:val="1"/>
                              <w:rtl w:val="0"/>
                              <w:lang w:val="en-US"/>
                            </w:rPr>
                            <w:t>aalnaim1@ksu.edu.sa</w:t>
                          </w:r>
                        </w:hyperlink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0"/>
                            <w:szCs w:val="20"/>
                            <w:rtl w:val="0"/>
                            <w:cs w:val="1"/>
                            <w:lang w:val="ar-SA" w:bidi="ar-SA"/>
                          </w:rPr>
                          <w:t xml:space="preserve">البريد الجامعي </w:t>
                        </w:r>
                        <w:r>
                          <w:rPr>
                            <w:rFonts w:ascii="Simplified Arabic" w:cs="Simplified Arabic" w:hAnsi="Simplified Arabic" w:eastAsia="Simplified Arabic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ar-SA" w:bidi="ar-SA"/>
                          </w:rPr>
                          <w:t xml:space="preserve">: </w:t>
                        </w:r>
                      </w:p>
                      <w:p>
                        <w:pPr>
                          <w:pStyle w:val="Normal"/>
                          <w:jc w:val="right"/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S35 </w:t>
                        </w: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sz w:val="20"/>
                            <w:szCs w:val="20"/>
                            <w:rtl w:val="0"/>
                            <w:cs w:val="1"/>
                            <w:lang w:val="ar-SA" w:bidi="ar-SA"/>
                          </w:rPr>
                          <w:t xml:space="preserve">رقم المكتب </w:t>
                        </w:r>
                        <w:r>
                          <w:rPr>
                            <w:rFonts w:ascii="Simplified Arabic" w:cs="Simplified Arabic" w:hAnsi="Simplified Arabic" w:eastAsia="Simplified Arabic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ar-SA" w:bidi="ar-SA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heading 1"/>
        <w:tabs>
          <w:tab w:val="left" w:pos="4572"/>
          <w:tab w:val="left" w:pos="6024"/>
          <w:tab w:val="left" w:pos="9401"/>
        </w:tabs>
        <w:jc w:val="left"/>
        <w:rPr>
          <w:rFonts w:ascii="Simplified Arabic" w:cs="Simplified Arabic" w:hAnsi="Simplified Arabic" w:eastAsia="Simplified Arabic"/>
          <w:sz w:val="24"/>
          <w:szCs w:val="24"/>
          <w:u w:val="none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sz w:val="24"/>
          <w:szCs w:val="24"/>
          <w:u w:val="none"/>
          <w:rtl w:val="1"/>
          <w:lang w:val="ar-SA" w:bidi="ar-SA"/>
        </w:rPr>
        <w:tab/>
        <w:tab/>
        <w:tab/>
      </w:r>
    </w:p>
    <w:p>
      <w:pPr>
        <w:pStyle w:val="heading 1"/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</w:pPr>
    </w:p>
    <w:p>
      <w:pPr>
        <w:pStyle w:val="heading 1"/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</w:pPr>
    </w:p>
    <w:p>
      <w:pPr>
        <w:pStyle w:val="heading 1"/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</w:pPr>
    </w:p>
    <w:p>
      <w:pPr>
        <w:pStyle w:val="heading 1"/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</w:pPr>
    </w:p>
    <w:p>
      <w:pPr>
        <w:pStyle w:val="heading 1"/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sz w:val="24"/>
          <w:szCs w:val="24"/>
          <w:rtl w:val="0"/>
          <w:cs w:val="1"/>
          <w:lang w:val="ar-SA" w:bidi="ar-SA"/>
        </w:rPr>
        <w:t>الخطة التدريسية للمقرر</w:t>
      </w:r>
      <w:r>
        <w:rPr>
          <w:rFonts w:ascii="Simplified Arabic" w:cs="Simplified Arabic" w:hAnsi="Simplified Arabic" w:eastAsia="Simplified Arabic"/>
          <w:sz w:val="24"/>
          <w:szCs w:val="24"/>
          <w:rtl w:val="1"/>
          <w:lang w:val="ar-SA" w:bidi="ar-SA"/>
        </w:rPr>
        <w:br w:type="textWrapping"/>
      </w:r>
      <w:r>
        <w:rPr>
          <w:rFonts w:ascii="Simplified Arabic" w:cs="Simplified Arabic" w:hAnsi="Simplified Arabic" w:eastAsia="Simplified Arabic"/>
          <w:sz w:val="24"/>
          <w:szCs w:val="24"/>
          <w:rtl w:val="0"/>
          <w:lang w:val="ar-SA" w:bidi="ar-SA"/>
        </w:rPr>
        <w:t xml:space="preserve">317 </w:t>
      </w:r>
      <w:r>
        <w:rPr>
          <w:rFonts w:ascii="Simplified Arabic" w:cs="Simplified Arabic" w:hAnsi="Simplified Arabic" w:eastAsia="Simplified Arabic" w:hint="cs"/>
          <w:sz w:val="24"/>
          <w:szCs w:val="24"/>
          <w:rtl w:val="0"/>
          <w:cs w:val="1"/>
          <w:lang w:val="ar-SA" w:bidi="ar-SA"/>
        </w:rPr>
        <w:t>حسب</w:t>
      </w:r>
      <w:r>
        <w:rPr>
          <w:rFonts w:ascii="Simplified Arabic" w:cs="Simplified Arabic" w:hAnsi="Simplified Arabic" w:eastAsia="Simplified Arabic"/>
          <w:sz w:val="24"/>
          <w:szCs w:val="24"/>
          <w:rtl w:val="0"/>
          <w:lang w:val="ar-SA" w:bidi="ar-SA"/>
        </w:rPr>
        <w:t> </w:t>
      </w:r>
      <w:r>
        <w:rPr>
          <w:rFonts w:ascii="Simplified Arabic" w:cs="Simplified Arabic" w:hAnsi="Simplified Arabic" w:eastAsia="Simplified Arabic" w:hint="cs"/>
          <w:sz w:val="24"/>
          <w:szCs w:val="24"/>
          <w:rtl w:val="0"/>
          <w:cs w:val="1"/>
          <w:lang w:val="ar-SA" w:bidi="ar-SA"/>
        </w:rPr>
        <w:t xml:space="preserve">المحاسبة المتوسطة </w:t>
      </w:r>
      <w:r>
        <w:rPr>
          <w:rFonts w:ascii="Simplified Arabic" w:cs="Simplified Arabic" w:hAnsi="Simplified Arabic" w:eastAsia="Simplified Arabic"/>
          <w:sz w:val="24"/>
          <w:szCs w:val="24"/>
          <w:rtl w:val="0"/>
          <w:lang w:val="ar-SA" w:bidi="ar-SA"/>
        </w:rPr>
        <w:t>1</w:t>
      </w:r>
    </w:p>
    <w:p>
      <w:pPr>
        <w:pStyle w:val="Normal"/>
        <w:rPr>
          <w:rFonts w:ascii="Simplified Arabic" w:cs="Simplified Arabic" w:hAnsi="Simplified Arabic" w:eastAsia="Simplified Arabic"/>
          <w:b w:val="1"/>
          <w:bCs w:val="1"/>
          <w:sz w:val="24"/>
          <w:szCs w:val="24"/>
          <w:rtl w:val="1"/>
          <w:lang w:val="ar-SA" w:bidi="ar-SA"/>
        </w:rPr>
      </w:pPr>
    </w:p>
    <w:p>
      <w:pPr>
        <w:pStyle w:val="Normal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u w:val="single"/>
          <w:rtl w:val="0"/>
          <w:cs w:val="1"/>
          <w:lang w:val="en-US" w:bidi="ar-SA"/>
        </w:rPr>
        <w:t xml:space="preserve">هدف المقرر 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u w:val="single"/>
          <w:rtl w:val="0"/>
          <w:lang w:val="en-US" w:bidi="ar-SA"/>
        </w:rPr>
        <w:t>: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 xml:space="preserve"> يهدف هذا المقرر إلى تعميق فهم الطالبات نظرياً وتطبيقياً للمشاكل المحاسبية المختلفة المتعلقة بجانب الأصول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,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 xml:space="preserve">كذلك الإلمام بمعايير المحاسبة ذات الصلة 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.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 xml:space="preserve">ويركز على جميع ما يتعلق بمحاسبة الأصول 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(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الموجودات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)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 xml:space="preserve">وكيفية تقييمها وإظهارها في قائمة المركز المالي 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.</w:t>
      </w:r>
    </w:p>
    <w:p>
      <w:pPr>
        <w:pStyle w:val="Normal"/>
        <w:widowControl w:val="0"/>
        <w:bidi w:val="1"/>
        <w:ind w:left="0" w:right="0" w:firstLine="0"/>
        <w:jc w:val="both"/>
        <w:rPr>
          <w:rFonts w:ascii="Simplified Arabic" w:cs="Simplified Arabic" w:hAnsi="Simplified Arabic" w:eastAsia="Simplified Arabic"/>
          <w:b w:val="1"/>
          <w:bCs w:val="1"/>
          <w:sz w:val="22"/>
          <w:szCs w:val="22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2"/>
          <w:szCs w:val="22"/>
          <w:u w:val="single"/>
          <w:rtl w:val="0"/>
          <w:cs w:val="1"/>
          <w:lang w:val="en-US" w:bidi="ar-SA"/>
        </w:rPr>
        <w:t>تقييم أداء الطالبات</w:t>
      </w:r>
      <w:r>
        <w:rPr>
          <w:rFonts w:ascii="Simplified Arabic" w:cs="Simplified Arabic" w:hAnsi="Simplified Arabic" w:eastAsia="Simplified Arabic"/>
          <w:b w:val="1"/>
          <w:bCs w:val="1"/>
          <w:sz w:val="22"/>
          <w:szCs w:val="22"/>
          <w:rtl w:val="0"/>
          <w:lang w:val="en-US" w:bidi="ar-SA"/>
        </w:rPr>
        <w:t xml:space="preserve">: </w:t>
      </w:r>
      <w:r>
        <w:rPr>
          <w:rFonts w:ascii="Simplified Arabic" w:cs="Simplified Arabic" w:hAnsi="Simplified Arabic" w:eastAsia="Simplified Arabic" w:hint="cs"/>
          <w:b w:val="1"/>
          <w:bCs w:val="1"/>
          <w:sz w:val="22"/>
          <w:szCs w:val="22"/>
          <w:rtl w:val="0"/>
          <w:cs w:val="1"/>
          <w:lang w:val="en-US" w:bidi="ar-SA"/>
        </w:rPr>
        <w:t>يتم تقييم أداء الطالبات على النحو التالي</w:t>
      </w:r>
      <w:r>
        <w:rPr>
          <w:rFonts w:ascii="Simplified Arabic" w:cs="Simplified Arabic" w:hAnsi="Simplified Arabic" w:eastAsia="Simplified Arabic"/>
          <w:b w:val="1"/>
          <w:bCs w:val="1"/>
          <w:sz w:val="22"/>
          <w:szCs w:val="22"/>
          <w:rtl w:val="0"/>
          <w:lang w:val="en-US" w:bidi="ar-SA"/>
        </w:rPr>
        <w:t>:</w:t>
      </w:r>
    </w:p>
    <w:tbl>
      <w:tblPr>
        <w:bidiVisual w:val="on"/>
        <w:tblW w:w="10685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07"/>
        <w:gridCol w:w="940"/>
        <w:gridCol w:w="938"/>
      </w:tblGrid>
      <w:tr>
        <w:tblPrEx>
          <w:shd w:val="clear" w:color="auto" w:fill="auto"/>
        </w:tblPrEx>
        <w:trPr>
          <w:trHeight w:val="248" w:hRule="atLeast"/>
        </w:trPr>
        <w:tc>
          <w:tcPr>
            <w:tcW w:type="dxa" w:w="88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البيــــــــــــــــــــــان</w:t>
            </w:r>
          </w:p>
        </w:tc>
        <w:tc>
          <w:tcPr>
            <w:tcW w:type="dxa" w:w="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الدرجة</w:t>
            </w:r>
          </w:p>
        </w:tc>
        <w:tc>
          <w:tcPr>
            <w:tcW w:type="dxa" w:w="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النسبة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88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both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أولاً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الاختبار الفصلي الأول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الا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ربعاء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 2-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-143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8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ه الموافق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11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-201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6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 م من الساعة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12-2</w:t>
            </w:r>
          </w:p>
        </w:tc>
        <w:tc>
          <w:tcPr>
            <w:tcW w:type="dxa" w:w="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20</w:t>
            </w:r>
          </w:p>
        </w:tc>
        <w:tc>
          <w:tcPr>
            <w:tcW w:type="dxa" w:w="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0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88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both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ثانياً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الاختبار الفصلي الثاني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اربعاء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15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3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-143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8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ه الموافق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14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12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-201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6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 م من الساعة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12-2</w:t>
            </w:r>
          </w:p>
        </w:tc>
        <w:tc>
          <w:tcPr>
            <w:tcW w:type="dxa" w:w="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25</w:t>
            </w:r>
          </w:p>
        </w:tc>
        <w:tc>
          <w:tcPr>
            <w:tcW w:type="dxa" w:w="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25%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88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2"/>
            </w:tcMar>
            <w:vAlign w:val="top"/>
          </w:tcPr>
          <w:p>
            <w:pPr>
              <w:pStyle w:val="Normal"/>
              <w:bidi w:val="1"/>
              <w:ind w:left="432" w:right="0" w:hanging="432"/>
              <w:jc w:val="both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ثالثاً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التطبيقات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 +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بحث</w:t>
            </w:r>
          </w:p>
        </w:tc>
        <w:tc>
          <w:tcPr>
            <w:tcW w:type="dxa" w:w="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15</w:t>
            </w:r>
          </w:p>
        </w:tc>
        <w:tc>
          <w:tcPr>
            <w:tcW w:type="dxa" w:w="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15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88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both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رابعا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الامتحان النهائي </w:t>
            </w:r>
          </w:p>
        </w:tc>
        <w:tc>
          <w:tcPr>
            <w:tcW w:type="dxa" w:w="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40</w:t>
            </w:r>
          </w:p>
        </w:tc>
        <w:tc>
          <w:tcPr>
            <w:tcW w:type="dxa" w:w="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40%</w:t>
            </w:r>
          </w:p>
        </w:tc>
      </w:tr>
    </w:tbl>
    <w:p>
      <w:pPr>
        <w:pStyle w:val="Normal"/>
        <w:widowControl w:val="0"/>
        <w:bidi w:val="1"/>
        <w:ind w:left="0" w:right="0" w:firstLine="0"/>
        <w:jc w:val="both"/>
        <w:rPr>
          <w:rFonts w:ascii="Simplified Arabic" w:cs="Simplified Arabic" w:hAnsi="Simplified Arabic" w:eastAsia="Simplified Arabic"/>
          <w:b w:val="1"/>
          <w:bCs w:val="1"/>
          <w:sz w:val="22"/>
          <w:szCs w:val="22"/>
          <w:rtl w:val="1"/>
          <w:lang w:val="ar-SA" w:bidi="ar-SA"/>
        </w:rPr>
      </w:pPr>
    </w:p>
    <w:p>
      <w:pPr>
        <w:pStyle w:val="Normal"/>
        <w:bidi w:val="1"/>
        <w:ind w:left="0" w:right="0" w:firstLine="0"/>
        <w:jc w:val="both"/>
        <w:rPr>
          <w:rFonts w:ascii="Simplified Arabic" w:cs="Simplified Arabic" w:hAnsi="Simplified Arabic" w:eastAsia="Simplified Arabic"/>
          <w:b w:val="1"/>
          <w:bCs w:val="1"/>
          <w:sz w:val="22"/>
          <w:szCs w:val="22"/>
          <w:u w:val="single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2"/>
          <w:szCs w:val="22"/>
          <w:u w:val="single"/>
          <w:rtl w:val="0"/>
          <w:cs w:val="1"/>
          <w:lang w:val="en-US" w:bidi="ar-SA"/>
        </w:rPr>
        <w:t xml:space="preserve">المرجع الرئيسي </w:t>
      </w:r>
      <w:r>
        <w:rPr>
          <w:rFonts w:ascii="Simplified Arabic" w:cs="Simplified Arabic" w:hAnsi="Simplified Arabic" w:eastAsia="Simplified Arabic"/>
          <w:b w:val="1"/>
          <w:bCs w:val="1"/>
          <w:sz w:val="22"/>
          <w:szCs w:val="22"/>
          <w:u w:val="single"/>
          <w:rtl w:val="0"/>
          <w:lang w:val="en-US" w:bidi="ar-SA"/>
        </w:rPr>
        <w:t>:</w:t>
      </w:r>
    </w:p>
    <w:p>
      <w:pPr>
        <w:pStyle w:val="Normal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 xml:space="preserve">          المحاسبة المتوسطة، الجزء الأول، محاسبة الأصول، تأليف الدكتور محمد سامي راضي،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(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 xml:space="preserve">إصدار جمعية المحاسبة السعودية، الرياض، 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1420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هـ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)</w:t>
      </w:r>
    </w:p>
    <w:p>
      <w:pPr>
        <w:pStyle w:val="Normal"/>
        <w:bidi w:val="1"/>
        <w:spacing w:line="276" w:lineRule="auto"/>
        <w:ind w:left="0" w:right="0" w:firstLine="0"/>
        <w:jc w:val="left"/>
        <w:rPr>
          <w:b w:val="1"/>
          <w:bCs w:val="1"/>
          <w:u w:val="single"/>
          <w:rtl w:val="1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u w:val="single"/>
          <w:rtl w:val="0"/>
          <w:cs w:val="1"/>
          <w:lang w:val="en-US" w:bidi="ar-SA"/>
        </w:rPr>
        <w:t xml:space="preserve">المراجع الإضافية 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u w:val="single"/>
          <w:rtl w:val="0"/>
          <w:lang w:val="en-US" w:bidi="ar-SA"/>
        </w:rPr>
        <w:t>:</w:t>
      </w:r>
    </w:p>
    <w:p>
      <w:pPr>
        <w:pStyle w:val="List Paragraph"/>
        <w:numPr>
          <w:ilvl w:val="0"/>
          <w:numId w:val="3"/>
        </w:numPr>
        <w:bidi w:val="1"/>
        <w:ind w:left="2880" w:right="1440" w:hanging="1800"/>
        <w:jc w:val="left"/>
        <w:rPr>
          <w:rFonts w:ascii="Helvetica" w:cs="Helvetica" w:hAnsi="Helvetica" w:eastAsia="Helvetica"/>
          <w:b w:val="1"/>
          <w:bCs w:val="1"/>
          <w:position w:val="0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أهداف ومفاهيم المحاسبة والمعايير السعودية ذات العلاقة</w:t>
      </w:r>
      <w:r>
        <w:rPr>
          <w:rFonts w:ascii="Times New Roman"/>
          <w:b w:val="1"/>
          <w:bCs w:val="1"/>
          <w:rtl w:val="0"/>
          <w:lang w:val="en-US"/>
        </w:rPr>
        <w:t xml:space="preserve"> .</w:t>
      </w:r>
    </w:p>
    <w:p>
      <w:pPr>
        <w:pStyle w:val="List Paragraph"/>
        <w:numPr>
          <w:ilvl w:val="0"/>
          <w:numId w:val="4"/>
        </w:numPr>
        <w:bidi w:val="1"/>
        <w:ind w:left="2880" w:right="1440" w:hanging="1800"/>
        <w:jc w:val="left"/>
        <w:rPr>
          <w:rFonts w:ascii="Helvetica" w:cs="Helvetica" w:hAnsi="Helvetica" w:eastAsia="Helvetica"/>
          <w:b w:val="1"/>
          <w:bCs w:val="1"/>
          <w:position w:val="0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معيار المخزون السلعي</w:t>
      </w:r>
      <w:r>
        <w:rPr>
          <w:rFonts w:ascii="Times New Roman"/>
          <w:b w:val="1"/>
          <w:bCs w:val="1"/>
          <w:rtl w:val="0"/>
          <w:lang w:val="en-US"/>
        </w:rPr>
        <w:t>.</w:t>
      </w:r>
    </w:p>
    <w:p>
      <w:pPr>
        <w:pStyle w:val="List Paragraph"/>
        <w:numPr>
          <w:ilvl w:val="0"/>
          <w:numId w:val="5"/>
        </w:numPr>
        <w:bidi w:val="1"/>
        <w:ind w:left="2880" w:right="1440" w:hanging="1800"/>
        <w:jc w:val="left"/>
        <w:rPr>
          <w:rFonts w:ascii="Helvetica" w:cs="Helvetica" w:hAnsi="Helvetica" w:eastAsia="Helvetica"/>
          <w:b w:val="1"/>
          <w:bCs w:val="1"/>
          <w:position w:val="0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معيار الأصول الثابتة</w:t>
      </w:r>
      <w:r>
        <w:rPr>
          <w:rFonts w:ascii="Times New Roman"/>
          <w:b w:val="1"/>
          <w:bCs w:val="1"/>
          <w:rtl w:val="0"/>
          <w:lang w:val="en-US"/>
        </w:rPr>
        <w:t xml:space="preserve"> .</w:t>
      </w:r>
    </w:p>
    <w:p>
      <w:pPr>
        <w:pStyle w:val="List Paragraph"/>
        <w:numPr>
          <w:ilvl w:val="0"/>
          <w:numId w:val="6"/>
        </w:numPr>
        <w:bidi w:val="1"/>
        <w:ind w:left="2880" w:right="1440" w:hanging="1800"/>
        <w:jc w:val="left"/>
        <w:rPr>
          <w:rFonts w:ascii="Helvetica" w:cs="Helvetica" w:hAnsi="Helvetica" w:eastAsia="Helvetica"/>
          <w:b w:val="1"/>
          <w:bCs w:val="1"/>
          <w:position w:val="0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معيار الأصول غير الملموسة</w:t>
      </w:r>
      <w:r>
        <w:rPr>
          <w:rFonts w:ascii="Times New Roman"/>
          <w:b w:val="1"/>
          <w:bCs w:val="1"/>
          <w:rtl w:val="0"/>
          <w:lang w:val="en-US"/>
        </w:rPr>
        <w:t>.</w:t>
      </w:r>
    </w:p>
    <w:p>
      <w:pPr>
        <w:pStyle w:val="List Paragraph"/>
        <w:numPr>
          <w:ilvl w:val="0"/>
          <w:numId w:val="7"/>
        </w:numPr>
        <w:bidi w:val="1"/>
        <w:ind w:left="2880" w:right="1440" w:hanging="1800"/>
        <w:jc w:val="left"/>
        <w:rPr>
          <w:rFonts w:ascii="Helvetica" w:cs="Helvetica" w:hAnsi="Helvetica" w:eastAsia="Helvetica"/>
          <w:b w:val="1"/>
          <w:bCs w:val="1"/>
          <w:position w:val="0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معيار المحاسبة عن الاستثمارات</w:t>
      </w:r>
      <w:r>
        <w:rPr>
          <w:rFonts w:ascii="Times New Roman"/>
          <w:b w:val="1"/>
          <w:bCs w:val="1"/>
          <w:rtl w:val="0"/>
          <w:lang w:val="en-US"/>
        </w:rPr>
        <w:t>.</w:t>
      </w:r>
    </w:p>
    <w:p>
      <w:pPr>
        <w:pStyle w:val="List Paragraph"/>
        <w:numPr>
          <w:ilvl w:val="0"/>
          <w:numId w:val="8"/>
        </w:numPr>
        <w:bidi w:val="1"/>
        <w:ind w:left="2880" w:right="1440" w:hanging="1800"/>
        <w:jc w:val="left"/>
        <w:rPr>
          <w:rFonts w:ascii="Helvetica" w:cs="Helvetica" w:hAnsi="Helvetica" w:eastAsia="Helvetica"/>
          <w:b w:val="1"/>
          <w:bCs w:val="1"/>
          <w:position w:val="0"/>
          <w:sz w:val="20"/>
          <w:szCs w:val="20"/>
          <w:rtl w:val="1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المحاسبة المتوسطة، دونالد كيسو، جيري و بجانت، ترجمة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: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د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.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حجاج، دار المريخ للنشر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. (1999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م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) -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الطبعة العربية الثانية</w:t>
      </w:r>
      <w:r>
        <w:rPr>
          <w:rFonts w:ascii="Times New Roman"/>
          <w:b w:val="1"/>
          <w:bCs w:val="1"/>
          <w:rtl w:val="0"/>
          <w:lang w:val="en-US"/>
        </w:rPr>
        <w:t>.</w:t>
      </w:r>
    </w:p>
    <w:p>
      <w:pPr>
        <w:pStyle w:val="List Paragraph"/>
        <w:numPr>
          <w:ilvl w:val="0"/>
          <w:numId w:val="9"/>
        </w:numPr>
        <w:bidi w:val="1"/>
        <w:ind w:left="2880" w:right="1440" w:hanging="1800"/>
        <w:jc w:val="left"/>
        <w:rPr>
          <w:b w:val="1"/>
          <w:bCs w:val="1"/>
          <w:position w:val="0"/>
          <w:sz w:val="20"/>
          <w:szCs w:val="20"/>
          <w:rtl w:val="1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نظرية المحاسبة، أ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>.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د</w:t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0"/>
          <w:lang w:val="en-US" w:bidi="ar-SA"/>
        </w:rPr>
        <w:t xml:space="preserve">. </w:t>
      </w:r>
      <w:r>
        <w:rPr>
          <w:rFonts w:ascii="Simplified Arabic" w:cs="Simplified Arabic" w:hAnsi="Simplified Arabic" w:eastAsia="Simplified Arabic" w:hint="cs"/>
          <w:b w:val="1"/>
          <w:bCs w:val="1"/>
          <w:sz w:val="20"/>
          <w:szCs w:val="20"/>
          <w:rtl w:val="0"/>
          <w:cs w:val="1"/>
          <w:lang w:val="en-US" w:bidi="ar-SA"/>
        </w:rPr>
        <w:t>عبد الرحمن الحميد ، مكتبة العبيكان</w:t>
      </w:r>
    </w:p>
    <w:p>
      <w:pPr>
        <w:pStyle w:val="List Paragraph"/>
        <w:widowControl w:val="0"/>
        <w:bidi w:val="1"/>
        <w:ind w:left="1440" w:right="72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1"/>
          <w:lang w:val="ar-SA" w:bidi="ar-SA"/>
        </w:rPr>
      </w:pPr>
    </w:p>
    <w:tbl>
      <w:tblPr>
        <w:bidiVisual w:val="on"/>
        <w:tblW w:w="10257" w:type="dxa"/>
        <w:jc w:val="left"/>
        <w:tblInd w:w="15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21"/>
        <w:gridCol w:w="1134"/>
        <w:gridCol w:w="4111"/>
        <w:gridCol w:w="3791"/>
      </w:tblGrid>
      <w:tr>
        <w:tblPrEx>
          <w:shd w:val="clear" w:color="auto" w:fill="auto"/>
        </w:tblPrEx>
        <w:trPr>
          <w:trHeight w:val="248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الأسبوع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الفصل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الموضوع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الملغي</w:t>
            </w:r>
          </w:p>
        </w:tc>
      </w:tr>
      <w:tr>
        <w:tblPrEx>
          <w:shd w:val="clear" w:color="auto" w:fill="auto"/>
        </w:tblPrEx>
        <w:trPr>
          <w:trHeight w:val="537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الأول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الأول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المحاسبة المالية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ماهيتها وتطور معاييرها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الثاني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الثاني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الإطار الفكري للمحاسبة المالية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الثالث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الثالث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النظام المحاسبي ودورة تشغيل المعلومات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الرابع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الرابع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قائمة الدخل وقائمة الأرباح المحتجزة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الخامس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الخامس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قائمة المركز المالي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السادس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السادس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النقدية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025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f497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الاختبار الفصلي الأول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السابع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السادس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المدينون وأوراق القبض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الثامن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السابع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المخزون السلعي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مبدأ التكلفة التاريخية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025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إجازة منتصف الفصل الدراسي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التاسع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الثامن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المخزون السلعي ومبادئ التقييم الأخرى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7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العاشر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التاسع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الأصول الثابتة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امتلاكها والاستغناء عنها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1025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5f497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الاختبار الفصلي الثاني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الحادي عشر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العاشر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استهلاك الأصول الثابتة واستنفاذ الموارد الطبيعية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الثاني عشر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الحادي عشر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الأصول غير الملموسة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الثالث عشر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الثاني عشر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المحاسبة عن الاستثمارات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الرابع عشر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الثاني عشر</w:t>
            </w:r>
          </w:p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المحاسبة عن الاستثمارات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3" w:hRule="atLeast"/>
        </w:trPr>
        <w:tc>
          <w:tcPr>
            <w:tcW w:type="dxa" w:w="1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1"/>
                <w:lang w:val="ar-SA" w:bidi="ar-SA"/>
              </w:rPr>
              <w:t>الخامس عشر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مراجعة</w:t>
            </w:r>
          </w:p>
        </w:tc>
        <w:tc>
          <w:tcPr>
            <w:tcW w:type="dxa" w:w="37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bidi w:val="1"/>
        <w:ind w:left="1440" w:right="720" w:firstLine="0"/>
        <w:jc w:val="left"/>
        <w:rPr>
          <w:rtl w:val="1"/>
        </w:rPr>
      </w:pP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1"/>
          <w:lang w:val="ar-SA" w:bidi="ar-SA"/>
        </w:rPr>
        <w:br w:type="textWrapping"/>
      </w:r>
      <w:r>
        <w:rPr>
          <w:rFonts w:ascii="Simplified Arabic" w:cs="Simplified Arabic" w:hAnsi="Simplified Arabic" w:eastAsia="Simplified Arabic"/>
          <w:b w:val="1"/>
          <w:bCs w:val="1"/>
          <w:sz w:val="20"/>
          <w:szCs w:val="20"/>
          <w:rtl w:val="1"/>
          <w:lang w:val="ar-SA" w:bidi="ar-SA"/>
        </w:rPr>
        <w:br w:type="page"/>
      </w:r>
    </w:p>
    <w:p>
      <w:pPr>
        <w:pStyle w:val="List Paragraph"/>
        <w:widowControl w:val="0"/>
        <w:bidi w:val="1"/>
        <w:ind w:left="1440" w:right="720" w:firstLine="0"/>
        <w:jc w:val="left"/>
        <w:rPr>
          <w:rtl w:val="1"/>
        </w:rPr>
      </w:pP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624" w:right="720" w:bottom="284" w:left="72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implified Arab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Helvetica" w:cs="Helvetica" w:hAnsi="Helvetica" w:eastAsia="Helvetica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bidi w:val="1"/>
        <w:ind w:left="1440" w:hanging="36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bidi w:val="1"/>
        <w:ind w:left="21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bidi w:val="1"/>
        <w:ind w:left="28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bidi w:val="1"/>
        <w:ind w:left="35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bidi w:val="1"/>
        <w:ind w:left="426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bidi w:val="1"/>
        <w:ind w:left="498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bidi w:val="1"/>
        <w:ind w:left="570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bidi w:val="1"/>
        <w:ind w:left="642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bidi w:val="1"/>
        <w:ind w:left="7140" w:hanging="300"/>
      </w:pPr>
      <w:rPr>
        <w:rFonts w:ascii="Simplified Arabic" w:cs="Simplified Arabic" w:hAnsi="Simplified Arabic" w:eastAsia="Simplified Arabic"/>
        <w:b w:val="1"/>
        <w:bCs w:val="1"/>
        <w:position w:val="0"/>
        <w:sz w:val="20"/>
        <w:szCs w:val="20"/>
        <w:lang w:val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character" w:styleId="page number">
    <w:name w:val="page number"/>
  </w:style>
  <w:style w:type="character" w:styleId="Hyperlink.0">
    <w:name w:val="Hyperlink.0"/>
    <w:basedOn w:val="page number"/>
    <w:next w:val="Hyperlink.0"/>
    <w:rPr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Times New Roman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ac.ksu.edu.sa/aalnaim1" TargetMode="External"/><Relationship Id="rId5" Type="http://schemas.openxmlformats.org/officeDocument/2006/relationships/hyperlink" Target="mailto:aalnaim1@ksu.edu.sa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