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7" w:rsidRPr="009D66F9" w:rsidRDefault="00B47517" w:rsidP="00B47517">
      <w:pPr>
        <w:rPr>
          <w:lang w:val="en-US" w:bidi="ar-EG"/>
        </w:rPr>
      </w:pPr>
      <w:bookmarkStart w:id="0" w:name="_GoBack"/>
      <w:bookmarkEnd w:id="0"/>
    </w:p>
    <w:p w:rsidR="00B47517" w:rsidRDefault="00B47517" w:rsidP="00B47517">
      <w:pPr>
        <w:pStyle w:val="3"/>
        <w:rPr>
          <w:lang w:val="en-AU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AU"/>
            </w:rPr>
            <w:t>Kingdom</w:t>
          </w:r>
        </w:smartTag>
        <w:r>
          <w:rPr>
            <w:lang w:val="en-AU"/>
          </w:rPr>
          <w:t xml:space="preserve"> of </w:t>
        </w:r>
        <w:smartTag w:uri="urn:schemas-microsoft-com:office:smarttags" w:element="PlaceName">
          <w:r>
            <w:rPr>
              <w:lang w:val="en-AU"/>
            </w:rPr>
            <w:t>Saudi Arabia</w:t>
          </w:r>
        </w:smartTag>
      </w:smartTag>
    </w:p>
    <w:p w:rsidR="00B47517" w:rsidRDefault="00B47517" w:rsidP="00B47517">
      <w:pPr>
        <w:jc w:val="center"/>
        <w:rPr>
          <w:b/>
          <w:bCs/>
          <w:sz w:val="32"/>
        </w:rPr>
      </w:pPr>
    </w:p>
    <w:p w:rsidR="00B47517" w:rsidRDefault="00B47517" w:rsidP="00B47517">
      <w:pPr>
        <w:jc w:val="center"/>
        <w:rPr>
          <w:b/>
          <w:bCs/>
          <w:sz w:val="40"/>
        </w:rPr>
      </w:pPr>
      <w:r>
        <w:rPr>
          <w:b/>
          <w:bCs/>
          <w:sz w:val="32"/>
        </w:rPr>
        <w:t>The National Commission for Academic Accreditation &amp; Assessment</w:t>
      </w:r>
      <w:r>
        <w:rPr>
          <w:b/>
          <w:bCs/>
          <w:sz w:val="40"/>
        </w:rPr>
        <w:t xml:space="preserve">  </w:t>
      </w:r>
    </w:p>
    <w:p w:rsidR="00B47517" w:rsidRDefault="00B47517" w:rsidP="00B47517">
      <w:pPr>
        <w:jc w:val="center"/>
        <w:rPr>
          <w:b/>
          <w:bCs/>
          <w:sz w:val="40"/>
        </w:rPr>
      </w:pPr>
    </w:p>
    <w:p w:rsidR="00B47517" w:rsidRDefault="00B47517" w:rsidP="00B47517">
      <w:pPr>
        <w:jc w:val="center"/>
        <w:rPr>
          <w:b/>
          <w:bCs/>
          <w:sz w:val="40"/>
        </w:rPr>
      </w:pPr>
    </w:p>
    <w:p w:rsidR="00B47517" w:rsidRDefault="00B47517" w:rsidP="00B47517">
      <w:pPr>
        <w:jc w:val="center"/>
        <w:rPr>
          <w:b/>
          <w:sz w:val="40"/>
          <w:szCs w:val="40"/>
          <w:lang w:val="en-GB"/>
        </w:rPr>
      </w:pPr>
    </w:p>
    <w:p w:rsidR="00B47517" w:rsidRDefault="00B47517" w:rsidP="00B47517">
      <w:pPr>
        <w:jc w:val="center"/>
        <w:rPr>
          <w:b/>
          <w:sz w:val="40"/>
          <w:szCs w:val="40"/>
          <w:lang w:val="en-GB"/>
        </w:rPr>
      </w:pPr>
    </w:p>
    <w:p w:rsidR="00B47517" w:rsidRDefault="00B47517" w:rsidP="00B47517">
      <w:pPr>
        <w:pStyle w:val="2"/>
        <w:rPr>
          <w:caps/>
          <w:sz w:val="32"/>
        </w:rPr>
      </w:pPr>
      <w:r>
        <w:rPr>
          <w:caps/>
          <w:sz w:val="32"/>
        </w:rPr>
        <w:t>Course Specification</w:t>
      </w:r>
    </w:p>
    <w:p w:rsidR="00B47517" w:rsidRDefault="00B47517" w:rsidP="00B47517">
      <w:pPr>
        <w:spacing w:before="240" w:line="360" w:lineRule="auto"/>
        <w:jc w:val="center"/>
      </w:pPr>
    </w:p>
    <w:p w:rsidR="00B47517" w:rsidRPr="007D2B78" w:rsidRDefault="00B47517" w:rsidP="00EA707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Reproductive health nursing</w:t>
      </w:r>
      <w:r w:rsidRPr="007D2B78">
        <w:rPr>
          <w:b/>
          <w:bCs/>
          <w:sz w:val="32"/>
          <w:szCs w:val="32"/>
          <w:lang w:val="en-US"/>
        </w:rPr>
        <w:t xml:space="preserve"> (NUR 3</w:t>
      </w:r>
      <w:r>
        <w:rPr>
          <w:b/>
          <w:bCs/>
          <w:sz w:val="32"/>
          <w:szCs w:val="32"/>
          <w:lang w:val="en-US"/>
        </w:rPr>
        <w:t>2</w:t>
      </w:r>
      <w:r w:rsidR="00EA7077">
        <w:rPr>
          <w:b/>
          <w:bCs/>
          <w:sz w:val="32"/>
          <w:szCs w:val="32"/>
          <w:lang w:val="en-US"/>
        </w:rPr>
        <w:t>5</w:t>
      </w:r>
      <w:r w:rsidRPr="007D2B78">
        <w:rPr>
          <w:b/>
          <w:bCs/>
          <w:sz w:val="32"/>
          <w:szCs w:val="32"/>
          <w:lang w:val="en-US"/>
        </w:rPr>
        <w:t>)</w:t>
      </w: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</w:pPr>
    </w:p>
    <w:p w:rsidR="00B47517" w:rsidRDefault="00B47517" w:rsidP="00B47517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br w:type="page"/>
      </w:r>
      <w:r>
        <w:rPr>
          <w:b/>
          <w:bCs/>
          <w:sz w:val="40"/>
          <w:szCs w:val="40"/>
        </w:rPr>
        <w:lastRenderedPageBreak/>
        <w:t>Course Specification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spacing w:before="240" w:after="240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 xml:space="preserve">Institution: </w:t>
            </w: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EG"/>
              </w:rPr>
              <w:t>king Saud university</w:t>
            </w: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 xml:space="preserve"> </w:t>
            </w: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ab/>
            </w: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ab/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spacing w:before="240" w:after="240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>College/Department :</w:t>
            </w: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EG"/>
              </w:rPr>
              <w:t>nursing collage</w:t>
            </w: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 xml:space="preserve">, </w:t>
            </w: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EG"/>
              </w:rPr>
              <w:t xml:space="preserve">maternal and child health  nursing department </w:t>
            </w:r>
          </w:p>
        </w:tc>
      </w:tr>
    </w:tbl>
    <w:p w:rsidR="00B47517" w:rsidRPr="00EA7077" w:rsidRDefault="00B47517" w:rsidP="00B47517">
      <w:pPr>
        <w:pStyle w:val="7"/>
        <w:spacing w:after="240"/>
        <w:rPr>
          <w:rFonts w:asciiTheme="majorBidi" w:hAnsiTheme="majorBidi" w:cstheme="majorBidi"/>
          <w:b/>
          <w:bCs/>
          <w:sz w:val="22"/>
          <w:szCs w:val="22"/>
        </w:rPr>
      </w:pPr>
      <w:r w:rsidRPr="00EA7077">
        <w:rPr>
          <w:rFonts w:asciiTheme="majorBidi" w:hAnsiTheme="majorBidi" w:cstheme="majorBidi"/>
          <w:b/>
          <w:bCs/>
          <w:sz w:val="22"/>
          <w:szCs w:val="22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47517" w:rsidRPr="00EA7077" w:rsidTr="00B15E05">
        <w:tc>
          <w:tcPr>
            <w:tcW w:w="8640" w:type="dxa"/>
          </w:tcPr>
          <w:p w:rsidR="00B47517" w:rsidRPr="00EA7077" w:rsidRDefault="00B47517" w:rsidP="00EA707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1.  Course title and code: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Reproductive health nursing (NUR 32</w:t>
            </w:r>
            <w:r w:rsidR="00EA7077"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5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)</w:t>
            </w:r>
          </w:p>
          <w:p w:rsidR="00B47517" w:rsidRPr="00EA7077" w:rsidRDefault="00B47517" w:rsidP="00B15E05">
            <w:pPr>
              <w:pStyle w:val="7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F35409">
            <w:pPr>
              <w:pStyle w:val="7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2.  Credit hours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:3         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pStyle w:val="1"/>
              <w:rPr>
                <w:rFonts w:asciiTheme="majorBidi" w:hAnsiTheme="majorBidi" w:cstheme="majorBidi"/>
                <w:b w:val="0"/>
                <w:color w:val="000000"/>
                <w:sz w:val="22"/>
              </w:rPr>
            </w:pPr>
            <w:r w:rsidRPr="00EA7077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en-AU"/>
              </w:rPr>
              <w:t xml:space="preserve">3.  </w:t>
            </w:r>
            <w:r w:rsidRPr="00EA7077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</w:rPr>
              <w:t xml:space="preserve">Program(s) in which the course is offered. </w:t>
            </w:r>
          </w:p>
          <w:p w:rsidR="00B47517" w:rsidRPr="00EA7077" w:rsidRDefault="00B47517" w:rsidP="00B15E05">
            <w:pPr>
              <w:pStyle w:val="1"/>
              <w:rPr>
                <w:rFonts w:asciiTheme="majorBidi" w:hAnsiTheme="majorBidi" w:cstheme="majorBidi"/>
                <w:b w:val="0"/>
                <w:color w:val="000000"/>
                <w:sz w:val="22"/>
              </w:rPr>
            </w:pPr>
            <w:r w:rsidRPr="00EA7077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</w:rPr>
              <w:t>(If general elective available in many programs indicate this rather than list programs)</w:t>
            </w:r>
          </w:p>
          <w:p w:rsidR="00B47517" w:rsidRPr="00EA7077" w:rsidRDefault="00B47517" w:rsidP="00B15E05">
            <w:pPr>
              <w:pStyle w:val="7"/>
              <w:ind w:left="72"/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BSC Nursing 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pStyle w:val="a3"/>
              <w:tabs>
                <w:tab w:val="clear" w:pos="4153"/>
                <w:tab w:val="clear" w:pos="8306"/>
                <w:tab w:val="left" w:pos="72"/>
              </w:tabs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4.  Name of faculty member responsible for the course</w:t>
            </w:r>
          </w:p>
          <w:p w:rsidR="00B47517" w:rsidRPr="00EA7077" w:rsidRDefault="00B47517" w:rsidP="00B15E05">
            <w:pPr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Dr . Amany Samy , Dr. Sahar Zamzam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F35409">
            <w:pPr>
              <w:pStyle w:val="7"/>
              <w:rPr>
                <w:rFonts w:asciiTheme="majorBidi" w:hAnsiTheme="majorBidi" w:cstheme="majorBidi"/>
                <w:lang w:val="en-US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5.  Level/year at which this course is offered</w:t>
            </w:r>
            <w:r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: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level </w:t>
            </w:r>
            <w:r w:rsidR="00F35409"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F35409">
            <w:pPr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6.  Pre-requisites for this course (if any) : 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7.  Co-requisites for this course (if any)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</w:pPr>
            <w:r w:rsidRPr="00EA7077"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  <w:t xml:space="preserve">8.  Location if not on main campus : 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color w:val="000000"/>
                <w:lang w:bidi="ar-EG"/>
              </w:rPr>
            </w:pPr>
          </w:p>
        </w:tc>
      </w:tr>
    </w:tbl>
    <w:p w:rsidR="00B47517" w:rsidRPr="00EA7077" w:rsidRDefault="00B47517" w:rsidP="00B47517">
      <w:pPr>
        <w:pStyle w:val="7"/>
        <w:spacing w:after="240"/>
        <w:rPr>
          <w:rFonts w:asciiTheme="majorBidi" w:hAnsiTheme="majorBidi" w:cstheme="majorBidi"/>
          <w:b/>
          <w:bCs/>
          <w:sz w:val="22"/>
          <w:szCs w:val="22"/>
        </w:rPr>
      </w:pPr>
    </w:p>
    <w:p w:rsidR="00B47517" w:rsidRPr="00EA7077" w:rsidRDefault="00B47517" w:rsidP="00B47517">
      <w:pPr>
        <w:pStyle w:val="7"/>
        <w:spacing w:after="24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A7077">
        <w:rPr>
          <w:rFonts w:asciiTheme="majorBidi" w:hAnsiTheme="majorBidi" w:cstheme="majorBidi"/>
          <w:b/>
          <w:bCs/>
          <w:sz w:val="22"/>
          <w:szCs w:val="22"/>
        </w:rPr>
        <w:br w:type="page"/>
      </w:r>
      <w:r w:rsidRPr="00EA7077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B 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47517" w:rsidRPr="00EA7077" w:rsidTr="00B15E05">
        <w:trPr>
          <w:cantSplit/>
          <w:trHeight w:val="690"/>
        </w:trPr>
        <w:tc>
          <w:tcPr>
            <w:tcW w:w="8640" w:type="dxa"/>
          </w:tcPr>
          <w:p w:rsidR="00B47517" w:rsidRPr="00EA7077" w:rsidRDefault="00B47517" w:rsidP="00B15E05">
            <w:pPr>
              <w:pStyle w:val="7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1.  Summary of the main learning outcomes for students enrolled in the course.</w:t>
            </w:r>
          </w:p>
          <w:p w:rsidR="00B47517" w:rsidRPr="00EA7077" w:rsidRDefault="00B47517" w:rsidP="001C3020">
            <w:pPr>
              <w:spacing w:before="100" w:beforeAutospacing="1" w:after="100" w:afterAutospacing="1"/>
              <w:rPr>
                <w:rFonts w:asciiTheme="majorBidi" w:hAnsiTheme="majorBidi" w:cstheme="majorBidi"/>
                <w:lang w:val="en-US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This course is aim to prepare and supply the students </w:t>
            </w:r>
            <w:r w:rsidR="00EA7077"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with essential information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that necessary to know</w:t>
            </w:r>
            <w:r w:rsid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A7077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 xml:space="preserve">Reproductive Health, reproductive health issues, measures and indicators.  </w:t>
            </w:r>
            <w:r w:rsidRPr="00EA707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The course content also will emphasize </w:t>
            </w:r>
            <w:r w:rsidR="001C3020" w:rsidRPr="00EA707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on providing care to women during normal, abnormal </w:t>
            </w:r>
            <w:r w:rsidR="00EA7077" w:rsidRPr="00EA707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pregnancy,</w:t>
            </w:r>
            <w:r w:rsidR="001C3020" w:rsidRPr="00EA707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labor and puerperal period. The course will provide also information about different methods of family planning and different gynecological problems.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pStyle w:val="7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2.  Briefly describe any plans for developing and improving the course that are being implemented.  (eg increased use of IT or web based reference material,  changes in content as a result of new research in the field)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Increase us of  internet resources to facilitate student's learning</w:t>
            </w:r>
          </w:p>
          <w:p w:rsidR="00B47517" w:rsidRPr="00EA7077" w:rsidRDefault="00B47517" w:rsidP="00B15E0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 small groups teaching methodology to enhance student's learning and cooperation.</w:t>
            </w:r>
          </w:p>
          <w:p w:rsidR="00B47517" w:rsidRPr="00EA7077" w:rsidRDefault="00EA7077" w:rsidP="00B15E0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Adopt self-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</w:t>
            </w:r>
            <w:r w:rsidR="00B47517"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through opening nursing labs for extra hours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-  prepare the library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</w:tbl>
    <w:p w:rsidR="00B47517" w:rsidRPr="00EA7077" w:rsidRDefault="00B47517" w:rsidP="00B47517">
      <w:pPr>
        <w:pStyle w:val="9"/>
        <w:rPr>
          <w:rFonts w:asciiTheme="majorBidi" w:hAnsiTheme="majorBidi" w:cstheme="majorBidi"/>
          <w:b/>
          <w:bCs/>
        </w:rPr>
      </w:pPr>
    </w:p>
    <w:p w:rsidR="00B47517" w:rsidRPr="00EA7077" w:rsidRDefault="00B47517" w:rsidP="00B47517">
      <w:pPr>
        <w:pStyle w:val="9"/>
        <w:rPr>
          <w:rFonts w:asciiTheme="majorBidi" w:hAnsiTheme="majorBidi" w:cstheme="majorBidi"/>
          <w:b/>
          <w:bCs/>
        </w:rPr>
      </w:pPr>
    </w:p>
    <w:p w:rsidR="00B47517" w:rsidRPr="00EA7077" w:rsidRDefault="00B47517" w:rsidP="00B47517">
      <w:pPr>
        <w:pStyle w:val="7"/>
        <w:spacing w:after="240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A7077">
        <w:rPr>
          <w:rFonts w:asciiTheme="majorBidi" w:hAnsiTheme="majorBidi" w:cstheme="majorBidi"/>
          <w:b/>
          <w:bCs/>
          <w:sz w:val="22"/>
          <w:szCs w:val="22"/>
        </w:rPr>
        <w:t xml:space="preserve">B  Objectives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47517" w:rsidRPr="00EA7077" w:rsidTr="00B15E05">
        <w:trPr>
          <w:cantSplit/>
          <w:trHeight w:val="690"/>
        </w:trPr>
        <w:tc>
          <w:tcPr>
            <w:tcW w:w="9356" w:type="dxa"/>
          </w:tcPr>
          <w:p w:rsidR="00B47517" w:rsidRPr="00EA7077" w:rsidRDefault="00B47517" w:rsidP="00B15E05">
            <w:pPr>
              <w:pStyle w:val="7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1.  Summary of the main learning outcomes for students enrolled in the course.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Upon the completion of the course the student will able to:</w:t>
            </w:r>
          </w:p>
          <w:p w:rsidR="00B47517" w:rsidRPr="00EA7077" w:rsidRDefault="00B47517" w:rsidP="00B15E05">
            <w:pPr>
              <w:tabs>
                <w:tab w:val="num" w:pos="540"/>
                <w:tab w:val="right" w:pos="1440"/>
              </w:tabs>
              <w:spacing w:line="360" w:lineRule="atLeast"/>
              <w:ind w:left="720" w:right="-900" w:hanging="54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B47517" w:rsidRPr="00EA7077" w:rsidRDefault="00B47517" w:rsidP="00B15E05">
            <w:pPr>
              <w:numPr>
                <w:ilvl w:val="0"/>
                <w:numId w:val="3"/>
              </w:numPr>
              <w:jc w:val="both"/>
              <w:rPr>
                <w:rStyle w:val="a6"/>
                <w:rFonts w:asciiTheme="majorBidi" w:hAnsiTheme="majorBidi" w:cstheme="majorBidi"/>
              </w:rPr>
            </w:pPr>
            <w:r w:rsidRPr="00EA7077">
              <w:rPr>
                <w:rStyle w:val="a6"/>
                <w:rFonts w:asciiTheme="majorBidi" w:hAnsiTheme="majorBidi" w:cstheme="majorBidi"/>
                <w:sz w:val="22"/>
                <w:szCs w:val="22"/>
              </w:rPr>
              <w:t>Possesses a comprehensive, coherent and systematic body of knowledge in a field of reproductive health nursing .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Identify socio-culture aspects of reproductive health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Identify preconception care to couples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Review anatomy and physiology of female reproductive health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Provide care to woman during normal</w:t>
            </w:r>
            <w:r w:rsidRPr="00EA707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, abnormal pregnancy , labor and puerperal period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Recognize normal extrauterine newborn adaptation 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Compare the different methods of contraception 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State the advantage and disadvantage of commonly used contraception 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Explain the common nursing interventions </w:t>
            </w:r>
          </w:p>
          <w:p w:rsidR="00A644C4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eastAsiaTheme="minorHAnsi" w:hAnsiTheme="majorBidi" w:cstheme="majorBidi"/>
                <w:sz w:val="22"/>
                <w:szCs w:val="22"/>
              </w:rPr>
              <w:t>Identify the different gynaecologic problems</w:t>
            </w:r>
          </w:p>
          <w:p w:rsidR="00B47517" w:rsidRPr="00EA7077" w:rsidRDefault="00A644C4" w:rsidP="00A644C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eastAsiaTheme="minorHAnsi" w:hAnsiTheme="majorBidi" w:cstheme="majorBidi"/>
                <w:sz w:val="22"/>
                <w:szCs w:val="22"/>
              </w:rPr>
              <w:t>Apply nursing care to different gynaecologic problems.</w:t>
            </w: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</w:tr>
      <w:tr w:rsidR="00B47517" w:rsidRPr="00EA7077" w:rsidTr="00B15E05">
        <w:tc>
          <w:tcPr>
            <w:tcW w:w="9356" w:type="dxa"/>
          </w:tcPr>
          <w:p w:rsidR="00B47517" w:rsidRPr="00EA7077" w:rsidRDefault="00B47517" w:rsidP="00B15E05">
            <w:pPr>
              <w:pStyle w:val="7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2.  Briefly describe any plans for developing and improving the course that are being implemented.  (eg increased use of IT or web based reference material,  changes in content as a result of new research in the field)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Increase us of  internet resources to facilitate student's learning</w:t>
            </w:r>
          </w:p>
          <w:p w:rsidR="00B47517" w:rsidRPr="00EA7077" w:rsidRDefault="00B47517" w:rsidP="00B15E0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 small groups teaching methodology to enhance student's learning and cooperation.</w:t>
            </w:r>
          </w:p>
          <w:p w:rsidR="00B47517" w:rsidRPr="00EA7077" w:rsidRDefault="00EA7077" w:rsidP="00B15E0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Adopt self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-learning</w:t>
            </w:r>
            <w:r w:rsidR="00B47517"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through opening nursing labs for extra hours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</w:tbl>
    <w:p w:rsidR="00B47517" w:rsidRPr="00EA7077" w:rsidRDefault="00B47517" w:rsidP="00B47517">
      <w:pPr>
        <w:pStyle w:val="9"/>
        <w:rPr>
          <w:rFonts w:asciiTheme="majorBidi" w:hAnsiTheme="majorBidi" w:cstheme="majorBidi"/>
          <w:bCs/>
        </w:rPr>
      </w:pPr>
      <w:r w:rsidRPr="00EA7077">
        <w:rPr>
          <w:rFonts w:asciiTheme="majorBidi" w:hAnsiTheme="majorBidi" w:cstheme="majorBidi"/>
          <w:b/>
          <w:bCs/>
        </w:rPr>
        <w:t xml:space="preserve">C.  Course </w:t>
      </w:r>
      <w:r w:rsidR="00EA7077" w:rsidRPr="00EA7077">
        <w:rPr>
          <w:rFonts w:asciiTheme="majorBidi" w:hAnsiTheme="majorBidi" w:cstheme="majorBidi"/>
          <w:b/>
          <w:bCs/>
        </w:rPr>
        <w:t>Description</w:t>
      </w:r>
      <w:r w:rsidR="00EA7077" w:rsidRPr="00EA7077">
        <w:rPr>
          <w:rFonts w:asciiTheme="majorBidi" w:hAnsiTheme="majorBidi" w:cstheme="majorBidi"/>
        </w:rPr>
        <w:t xml:space="preserve"> (</w:t>
      </w:r>
      <w:r w:rsidRPr="00EA7077">
        <w:rPr>
          <w:rFonts w:asciiTheme="majorBidi" w:hAnsiTheme="majorBidi" w:cstheme="majorBidi"/>
          <w:bCs/>
        </w:rPr>
        <w:t>Note:  General description in the form to be used for the Bulletin or Handbook should be attached)</w:t>
      </w: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900"/>
        <w:gridCol w:w="990"/>
      </w:tblGrid>
      <w:tr w:rsidR="00B47517" w:rsidRPr="00EA7077" w:rsidTr="00EA7077">
        <w:tc>
          <w:tcPr>
            <w:tcW w:w="8730" w:type="dxa"/>
            <w:gridSpan w:val="3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1 Topics to be Covered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lang w:bidi="ar-EG"/>
              </w:rPr>
            </w:pPr>
          </w:p>
        </w:tc>
      </w:tr>
      <w:tr w:rsidR="00B47517" w:rsidRPr="00EA7077" w:rsidTr="00EA7077">
        <w:trPr>
          <w:cantSplit/>
        </w:trPr>
        <w:tc>
          <w:tcPr>
            <w:tcW w:w="6840" w:type="dxa"/>
          </w:tcPr>
          <w:p w:rsidR="00B47517" w:rsidRPr="00EA7077" w:rsidRDefault="00EA7077" w:rsidP="00B15E05">
            <w:pPr>
              <w:jc w:val="center"/>
              <w:rPr>
                <w:rFonts w:asciiTheme="majorBidi" w:hAnsiTheme="majorBidi" w:cstheme="majorBidi"/>
                <w:lang w:val="fr-FR"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 w:bidi="ar-EG"/>
              </w:rPr>
              <w:t>List of Topic</w:t>
            </w:r>
          </w:p>
        </w:tc>
        <w:tc>
          <w:tcPr>
            <w:tcW w:w="900" w:type="dxa"/>
          </w:tcPr>
          <w:p w:rsidR="00B47517" w:rsidRPr="00EA7077" w:rsidRDefault="00B47517" w:rsidP="00B15E0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No of</w:t>
            </w:r>
          </w:p>
          <w:p w:rsidR="00B47517" w:rsidRPr="00EA7077" w:rsidRDefault="00B47517" w:rsidP="00B15E0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Weeks</w:t>
            </w:r>
          </w:p>
        </w:tc>
        <w:tc>
          <w:tcPr>
            <w:tcW w:w="990" w:type="dxa"/>
          </w:tcPr>
          <w:p w:rsidR="00B47517" w:rsidRPr="00EA7077" w:rsidRDefault="00EA7077" w:rsidP="00B15E0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Contact hours</w:t>
            </w:r>
          </w:p>
        </w:tc>
      </w:tr>
      <w:tr w:rsidR="00F35409" w:rsidRPr="00EA7077" w:rsidTr="00EA7077">
        <w:trPr>
          <w:cantSplit/>
        </w:trPr>
        <w:tc>
          <w:tcPr>
            <w:tcW w:w="6840" w:type="dxa"/>
          </w:tcPr>
          <w:p w:rsidR="00F35409" w:rsidRPr="00EA7077" w:rsidRDefault="00F35409" w:rsidP="00F35409">
            <w:pPr>
              <w:pStyle w:val="a7"/>
              <w:numPr>
                <w:ilvl w:val="0"/>
                <w:numId w:val="11"/>
              </w:numPr>
              <w:rPr>
                <w:rFonts w:asciiTheme="majorBidi" w:hAnsiTheme="majorBidi" w:cstheme="majorBidi"/>
                <w:lang w:val="en-US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Culture and reproductive health in Saudi Arabia</w:t>
            </w:r>
          </w:p>
        </w:tc>
        <w:tc>
          <w:tcPr>
            <w:tcW w:w="900" w:type="dxa"/>
          </w:tcPr>
          <w:p w:rsidR="00F35409" w:rsidRPr="00EA7077" w:rsidRDefault="00F35409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F35409" w:rsidRPr="00EA7077" w:rsidRDefault="00F35409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B47517" w:rsidRPr="00EA7077" w:rsidTr="00EA7077">
        <w:trPr>
          <w:cantSplit/>
        </w:trPr>
        <w:tc>
          <w:tcPr>
            <w:tcW w:w="6840" w:type="dxa"/>
          </w:tcPr>
          <w:p w:rsidR="0059523E" w:rsidRPr="00EA7077" w:rsidRDefault="00F35409" w:rsidP="00F35409">
            <w:pPr>
              <w:pStyle w:val="a7"/>
              <w:numPr>
                <w:ilvl w:val="0"/>
                <w:numId w:val="11"/>
              </w:numPr>
              <w:rPr>
                <w:rFonts w:asciiTheme="majorBidi" w:hAnsiTheme="majorBidi" w:cstheme="majorBidi"/>
                <w:lang w:val="en-US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Health promotion through a</w:t>
            </w:r>
            <w:r w:rsidR="0059523E"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ssessment of the couple’s reproductive health during pre-conceptual period </w:t>
            </w:r>
            <w:r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and providing c</w:t>
            </w:r>
            <w:r w:rsidR="0059523E"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are of couples during the pre-conceptual period including counseling on reproductive health</w:t>
            </w:r>
          </w:p>
        </w:tc>
        <w:tc>
          <w:tcPr>
            <w:tcW w:w="900" w:type="dxa"/>
          </w:tcPr>
          <w:p w:rsidR="00B47517" w:rsidRPr="00EA7077" w:rsidRDefault="00B47517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</w:p>
        </w:tc>
        <w:tc>
          <w:tcPr>
            <w:tcW w:w="990" w:type="dxa"/>
          </w:tcPr>
          <w:p w:rsidR="00B47517" w:rsidRPr="00EA7077" w:rsidRDefault="00B47517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3 </w:t>
            </w:r>
          </w:p>
        </w:tc>
      </w:tr>
      <w:tr w:rsidR="00B47517" w:rsidRPr="00EA7077" w:rsidTr="00EA7077">
        <w:trPr>
          <w:cantSplit/>
        </w:trPr>
        <w:tc>
          <w:tcPr>
            <w:tcW w:w="6840" w:type="dxa"/>
          </w:tcPr>
          <w:p w:rsidR="0059523E" w:rsidRPr="00EA7077" w:rsidRDefault="00F35409" w:rsidP="00F3540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59523E" w:rsidRPr="00EA7077">
              <w:rPr>
                <w:rFonts w:asciiTheme="majorBidi" w:hAnsiTheme="majorBidi" w:cstheme="majorBidi"/>
                <w:sz w:val="22"/>
                <w:szCs w:val="22"/>
              </w:rPr>
              <w:t>he reproductive system</w:t>
            </w:r>
            <w:r w:rsidRPr="00EA7077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B47517" w:rsidRPr="00EA7077" w:rsidRDefault="0059523E" w:rsidP="0059523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Female reproductive systems</w:t>
            </w:r>
          </w:p>
          <w:p w:rsidR="0059523E" w:rsidRPr="00EA7077" w:rsidRDefault="0059523E" w:rsidP="0059523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Life cycle of reproductive systems in puberty ,menarche and menopause</w:t>
            </w:r>
          </w:p>
          <w:p w:rsidR="0059523E" w:rsidRPr="00EA7077" w:rsidRDefault="0059523E" w:rsidP="0059523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Fetal development </w:t>
            </w:r>
          </w:p>
        </w:tc>
        <w:tc>
          <w:tcPr>
            <w:tcW w:w="900" w:type="dxa"/>
          </w:tcPr>
          <w:p w:rsidR="00B47517" w:rsidRPr="00EA7077" w:rsidRDefault="00B47517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47517" w:rsidRPr="00EA7077" w:rsidRDefault="00B47517" w:rsidP="00F35409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3 </w:t>
            </w:r>
          </w:p>
        </w:tc>
      </w:tr>
      <w:tr w:rsidR="00B47517" w:rsidRPr="00EA7077" w:rsidTr="00EA7077">
        <w:trPr>
          <w:cantSplit/>
        </w:trPr>
        <w:tc>
          <w:tcPr>
            <w:tcW w:w="6840" w:type="dxa"/>
          </w:tcPr>
          <w:p w:rsidR="00B47517" w:rsidRPr="00EA7077" w:rsidRDefault="00102042" w:rsidP="00B1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59523E" w:rsidRPr="00EA7077">
              <w:rPr>
                <w:rFonts w:asciiTheme="majorBidi" w:hAnsiTheme="majorBidi" w:cstheme="majorBidi"/>
                <w:sz w:val="22"/>
                <w:szCs w:val="22"/>
              </w:rPr>
              <w:t>-Physiological changes during pregnancy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Diagnosis of pregnancy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Physiology of pregnancy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Discomfort of pregnancy and relief measures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Nutrition 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Exercise 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Common concern during pregnancy</w:t>
            </w:r>
          </w:p>
        </w:tc>
        <w:tc>
          <w:tcPr>
            <w:tcW w:w="900" w:type="dxa"/>
          </w:tcPr>
          <w:p w:rsidR="00B47517" w:rsidRPr="00EA7077" w:rsidRDefault="00F35409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47517" w:rsidRPr="00EA7077" w:rsidRDefault="0059523E" w:rsidP="00F35409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102042" w:rsidRPr="00EA7077" w:rsidTr="00EA7077">
        <w:trPr>
          <w:cantSplit/>
        </w:trPr>
        <w:tc>
          <w:tcPr>
            <w:tcW w:w="6840" w:type="dxa"/>
          </w:tcPr>
          <w:p w:rsidR="00102042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5-high risk pregnancy resulting from pregnancy, occur during pregnancy, concident with pregnancy.</w:t>
            </w:r>
          </w:p>
        </w:tc>
        <w:tc>
          <w:tcPr>
            <w:tcW w:w="900" w:type="dxa"/>
          </w:tcPr>
          <w:p w:rsidR="00102042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102042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B47517" w:rsidRPr="00EA7077" w:rsidTr="00EA7077">
        <w:trPr>
          <w:cantSplit/>
        </w:trPr>
        <w:tc>
          <w:tcPr>
            <w:tcW w:w="6840" w:type="dxa"/>
          </w:tcPr>
          <w:p w:rsidR="00B47517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="0059523E" w:rsidRPr="00EA7077">
              <w:rPr>
                <w:rFonts w:asciiTheme="majorBidi" w:hAnsiTheme="majorBidi" w:cstheme="majorBidi"/>
                <w:sz w:val="22"/>
                <w:szCs w:val="22"/>
              </w:rPr>
              <w:t>-Nursing care during child birth</w:t>
            </w:r>
          </w:p>
        </w:tc>
        <w:tc>
          <w:tcPr>
            <w:tcW w:w="900" w:type="dxa"/>
          </w:tcPr>
          <w:p w:rsidR="00B47517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B47517" w:rsidRPr="00EA7077" w:rsidRDefault="0059523E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B47517" w:rsidRPr="00EA7077" w:rsidTr="00EA7077">
        <w:trPr>
          <w:cantSplit/>
        </w:trPr>
        <w:tc>
          <w:tcPr>
            <w:tcW w:w="6840" w:type="dxa"/>
          </w:tcPr>
          <w:p w:rsidR="00B47517" w:rsidRPr="00EA7077" w:rsidRDefault="00102042" w:rsidP="00C243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="00C243C4"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-high risk </w:t>
            </w: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conditions </w:t>
            </w:r>
            <w:r w:rsidR="00C243C4"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apparent at onset of labor </w:t>
            </w:r>
          </w:p>
        </w:tc>
        <w:tc>
          <w:tcPr>
            <w:tcW w:w="900" w:type="dxa"/>
          </w:tcPr>
          <w:p w:rsidR="00B47517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47517" w:rsidRPr="00EA7077" w:rsidRDefault="0059523E" w:rsidP="00C243C4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59523E" w:rsidRPr="00EA7077" w:rsidTr="00EA7077">
        <w:trPr>
          <w:cantSplit/>
        </w:trPr>
        <w:tc>
          <w:tcPr>
            <w:tcW w:w="6840" w:type="dxa"/>
          </w:tcPr>
          <w:p w:rsidR="0059523E" w:rsidRPr="00EA7077" w:rsidRDefault="00102042" w:rsidP="001020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="00C243C4" w:rsidRPr="00EA7077">
              <w:rPr>
                <w:rFonts w:asciiTheme="majorBidi" w:hAnsiTheme="majorBidi" w:cstheme="majorBidi"/>
                <w:sz w:val="22"/>
                <w:szCs w:val="22"/>
              </w:rPr>
              <w:t>-nursing care of healthy mothers and newborn(post partum adaptation)</w:t>
            </w: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  and </w:t>
            </w:r>
            <w:r w:rsidR="0059523E" w:rsidRPr="00EA7077">
              <w:rPr>
                <w:rFonts w:asciiTheme="majorBidi" w:hAnsiTheme="majorBidi" w:cstheme="majorBidi"/>
                <w:sz w:val="22"/>
                <w:szCs w:val="22"/>
              </w:rPr>
              <w:t>immediate newborn care</w:t>
            </w:r>
          </w:p>
        </w:tc>
        <w:tc>
          <w:tcPr>
            <w:tcW w:w="900" w:type="dxa"/>
          </w:tcPr>
          <w:p w:rsidR="0059523E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59523E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59523E" w:rsidRPr="00EA7077" w:rsidTr="00EA7077">
        <w:trPr>
          <w:cantSplit/>
        </w:trPr>
        <w:tc>
          <w:tcPr>
            <w:tcW w:w="6840" w:type="dxa"/>
          </w:tcPr>
          <w:p w:rsidR="0059523E" w:rsidRPr="00EA7077" w:rsidRDefault="00A028C5" w:rsidP="0059523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9-post partum complications</w:t>
            </w:r>
          </w:p>
          <w:p w:rsidR="00102042" w:rsidRPr="00EA7077" w:rsidRDefault="00102042" w:rsidP="0010204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post partum hemorrhage</w:t>
            </w:r>
          </w:p>
          <w:p w:rsidR="00102042" w:rsidRPr="00EA7077" w:rsidRDefault="00102042" w:rsidP="0010204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post partum infection </w:t>
            </w:r>
          </w:p>
        </w:tc>
        <w:tc>
          <w:tcPr>
            <w:tcW w:w="900" w:type="dxa"/>
          </w:tcPr>
          <w:p w:rsidR="0059523E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59523E" w:rsidRPr="00EA7077" w:rsidRDefault="00A028C5" w:rsidP="00C243C4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59523E" w:rsidRPr="00EA7077" w:rsidTr="00EA7077">
        <w:trPr>
          <w:cantSplit/>
        </w:trPr>
        <w:tc>
          <w:tcPr>
            <w:tcW w:w="6840" w:type="dxa"/>
          </w:tcPr>
          <w:p w:rsidR="0059523E" w:rsidRPr="00EA7077" w:rsidRDefault="00A028C5" w:rsidP="0059523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10-gynecological care of the women</w:t>
            </w:r>
            <w:r w:rsidR="00C243C4" w:rsidRPr="00EA7077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Vaginal and vulval health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Menopause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Breast health</w:t>
            </w:r>
          </w:p>
          <w:p w:rsidR="00C243C4" w:rsidRPr="00EA7077" w:rsidRDefault="00C243C4" w:rsidP="00C243C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Infertility and reproductive technology</w:t>
            </w:r>
          </w:p>
        </w:tc>
        <w:tc>
          <w:tcPr>
            <w:tcW w:w="900" w:type="dxa"/>
          </w:tcPr>
          <w:p w:rsidR="0059523E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59523E" w:rsidRPr="00EA7077" w:rsidRDefault="00102042" w:rsidP="00C243C4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59523E" w:rsidRPr="00EA7077" w:rsidTr="00EA7077">
        <w:trPr>
          <w:cantSplit/>
        </w:trPr>
        <w:tc>
          <w:tcPr>
            <w:tcW w:w="6840" w:type="dxa"/>
          </w:tcPr>
          <w:p w:rsidR="0059523E" w:rsidRPr="00EA7077" w:rsidRDefault="00A028C5" w:rsidP="0059523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11-family planning </w:t>
            </w:r>
          </w:p>
        </w:tc>
        <w:tc>
          <w:tcPr>
            <w:tcW w:w="900" w:type="dxa"/>
          </w:tcPr>
          <w:p w:rsidR="0059523E" w:rsidRPr="00EA7077" w:rsidRDefault="00102042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59523E" w:rsidRPr="00EA7077" w:rsidRDefault="00A028C5" w:rsidP="00B15E05">
            <w:pPr>
              <w:pStyle w:val="7"/>
              <w:spacing w:before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530"/>
        <w:gridCol w:w="1710"/>
        <w:gridCol w:w="1980"/>
      </w:tblGrid>
      <w:tr w:rsidR="00B47517" w:rsidRPr="00EA7077" w:rsidTr="00B15E05">
        <w:trPr>
          <w:trHeight w:val="64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2 Course components (total contact hours per semester): </w:t>
            </w: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ab/>
            </w: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ab/>
            </w:r>
          </w:p>
        </w:tc>
      </w:tr>
      <w:tr w:rsidR="00B47517" w:rsidRPr="00EA7077" w:rsidTr="00B15E05">
        <w:trPr>
          <w:trHeight w:val="10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Lecture: 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45 hrs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Tutorial: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Laboratory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Practical/Field work/Internship:</w:t>
            </w:r>
          </w:p>
          <w:p w:rsidR="00B47517" w:rsidRPr="00EA7077" w:rsidRDefault="00B47517" w:rsidP="00A028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Other: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NA</w:t>
            </w: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B47517" w:rsidRPr="00EA7077" w:rsidTr="00B15E0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3. Additional private study/learning hours expected for students per week. (This should be an average :for the semester not a specific requirement in each week)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3hrs </w:t>
            </w: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B47517" w:rsidRPr="00EA7077" w:rsidTr="00A028C5">
        <w:trPr>
          <w:trHeight w:val="311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a3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lang w:val="en-US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4. Development of Learning Outcomes in Domains of Learning  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For each of the domains of learning shown below indicate:</w:t>
            </w:r>
          </w:p>
          <w:p w:rsidR="00B47517" w:rsidRPr="00EA7077" w:rsidRDefault="00B47517" w:rsidP="00B15E05">
            <w:pPr>
              <w:pStyle w:val="7"/>
              <w:numPr>
                <w:ilvl w:val="0"/>
                <w:numId w:val="1"/>
              </w:numPr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 brief summary of the knowledge or skill the course is intended to develop; </w:t>
            </w:r>
          </w:p>
          <w:p w:rsidR="00B47517" w:rsidRPr="00EA7077" w:rsidRDefault="00B47517" w:rsidP="00B15E05">
            <w:pPr>
              <w:pStyle w:val="7"/>
              <w:numPr>
                <w:ilvl w:val="0"/>
                <w:numId w:val="1"/>
              </w:numPr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A description of the teaching strategies to be used in the course to develop that knowledge or  skill;</w:t>
            </w:r>
          </w:p>
          <w:p w:rsidR="00B47517" w:rsidRPr="00EA7077" w:rsidRDefault="00B47517" w:rsidP="00B15E05">
            <w:pPr>
              <w:pStyle w:val="7"/>
              <w:numPr>
                <w:ilvl w:val="0"/>
                <w:numId w:val="1"/>
              </w:numPr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The methods of student assessment to be used in the course to evaluate learning outcomes in the domain concerned.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a.  Knowledge  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(i)  Description of the knowledge to be acquired</w:t>
            </w:r>
          </w:p>
          <w:p w:rsidR="00A028C5" w:rsidRPr="00EA7077" w:rsidRDefault="00A028C5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Acquiring body of knowledge about concepts of reproductive health that are</w:t>
            </w:r>
          </w:p>
          <w:p w:rsidR="00A028C5" w:rsidRPr="00EA7077" w:rsidRDefault="00A028C5" w:rsidP="00A028C5">
            <w:pPr>
              <w:spacing w:line="360" w:lineRule="atLeast"/>
              <w:ind w:left="252"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       fundamental to maternity nursing.</w:t>
            </w:r>
          </w:p>
          <w:p w:rsidR="00B47517" w:rsidRPr="00EA7077" w:rsidRDefault="00A028C5" w:rsidP="00A028C5">
            <w:pPr>
              <w:pStyle w:val="a7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Recalling  knowledge that are used into nursing practice.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(ii)  Teaching strategies to be used to develop that knowledge</w:t>
            </w:r>
          </w:p>
          <w:p w:rsidR="00A028C5" w:rsidRPr="00EA7077" w:rsidRDefault="00B47517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A028C5"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Lectures</w:t>
            </w:r>
          </w:p>
          <w:p w:rsidR="00A028C5" w:rsidRPr="00EA7077" w:rsidRDefault="00A028C5" w:rsidP="00A028C5">
            <w:pPr>
              <w:spacing w:line="360" w:lineRule="atLeast"/>
              <w:ind w:left="720" w:right="-90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Introductory lecture gives an overview of the content and significance of the course and of its </w:t>
            </w:r>
          </w:p>
          <w:p w:rsidR="00A028C5" w:rsidRPr="00EA7077" w:rsidRDefault="00A028C5" w:rsidP="00A028C5">
            <w:pPr>
              <w:spacing w:line="360" w:lineRule="atLeast"/>
              <w:ind w:left="720" w:right="-90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relationship to students’ existing knowledge.  Each subsequent lecture begins with a similar </w:t>
            </w:r>
          </w:p>
          <w:p w:rsidR="00A028C5" w:rsidRPr="00EA7077" w:rsidRDefault="00A028C5" w:rsidP="00A028C5">
            <w:pPr>
              <w:spacing w:line="360" w:lineRule="atLeast"/>
              <w:ind w:left="720"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overview linking the  particular content of the presentation to the general overview</w:t>
            </w:r>
            <w:r w:rsidRPr="00EA707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:rsidR="00A028C5" w:rsidRPr="00EA7077" w:rsidRDefault="00A028C5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Discussion.</w:t>
            </w:r>
          </w:p>
          <w:p w:rsidR="00A028C5" w:rsidRPr="00EA7077" w:rsidRDefault="00A028C5" w:rsidP="00A028C5">
            <w:pPr>
              <w:spacing w:line="360" w:lineRule="atLeast"/>
              <w:ind w:left="720"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To clarify any matters that was not understood by students</w:t>
            </w:r>
          </w:p>
          <w:p w:rsidR="00A028C5" w:rsidRPr="00EA7077" w:rsidRDefault="00A028C5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Summarizing the main ideas of the reading texts.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(iii)  Methods of assessment of knowledge acquired</w:t>
            </w:r>
          </w:p>
          <w:p w:rsidR="00A028C5" w:rsidRPr="00EA7077" w:rsidRDefault="00102042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A028C5"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Quizzes</w:t>
            </w:r>
          </w:p>
          <w:p w:rsidR="00A028C5" w:rsidRPr="00EA7077" w:rsidRDefault="0077746F" w:rsidP="00A028C5">
            <w:pPr>
              <w:spacing w:line="360" w:lineRule="atLeast"/>
              <w:ind w:left="720"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</w:t>
            </w:r>
            <w:r w:rsidR="00A028C5"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0% of each quiz given to students</w:t>
            </w:r>
          </w:p>
          <w:p w:rsidR="00A028C5" w:rsidRPr="00EA7077" w:rsidRDefault="00A028C5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Midterm  exams</w:t>
            </w:r>
          </w:p>
          <w:p w:rsidR="00A028C5" w:rsidRPr="00EA7077" w:rsidRDefault="0077746F" w:rsidP="00A028C5">
            <w:pPr>
              <w:spacing w:line="360" w:lineRule="atLeast"/>
              <w:ind w:left="720" w:right="-9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</w:t>
            </w:r>
            <w:r w:rsidR="00A028C5"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0 % of the midterm exam </w:t>
            </w:r>
          </w:p>
          <w:p w:rsidR="00A028C5" w:rsidRPr="00EA7077" w:rsidRDefault="00A028C5" w:rsidP="00A028C5">
            <w:pPr>
              <w:numPr>
                <w:ilvl w:val="0"/>
                <w:numId w:val="7"/>
              </w:numPr>
              <w:spacing w:line="360" w:lineRule="atLeast"/>
              <w:ind w:right="-900"/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Final exam</w:t>
            </w:r>
          </w:p>
          <w:p w:rsidR="00B47517" w:rsidRPr="00EA7077" w:rsidRDefault="00A028C5" w:rsidP="0077746F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</w:t>
            </w:r>
            <w:r w:rsidR="0077746F"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4</w:t>
            </w: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0 % of the Final written exam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b.  Cognitive Skills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(i)  Description of cognitive skills to be developed</w:t>
            </w:r>
          </w:p>
          <w:p w:rsidR="0077746F" w:rsidRPr="00EA7077" w:rsidRDefault="0077746F" w:rsidP="0077746F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jc w:val="lowKashida"/>
              <w:rPr>
                <w:rFonts w:asciiTheme="majorBidi" w:hAnsiTheme="majorBidi" w:cstheme="majorBidi"/>
                <w:b/>
                <w:bCs/>
                <w:color w:val="80808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 ability to comprehend concepts that are fundamental to the practice of nursing</w:t>
            </w:r>
          </w:p>
          <w:p w:rsidR="0077746F" w:rsidRPr="00EA7077" w:rsidRDefault="0077746F" w:rsidP="0077746F">
            <w:pPr>
              <w:numPr>
                <w:ilvl w:val="0"/>
                <w:numId w:val="3"/>
              </w:numPr>
              <w:spacing w:line="360" w:lineRule="atLeast"/>
              <w:ind w:right="-540"/>
              <w:rPr>
                <w:rFonts w:asciiTheme="majorBidi" w:hAnsiTheme="majorBidi" w:cstheme="majorBidi"/>
                <w:b/>
                <w:bCs/>
                <w:color w:val="80808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 ability to analyse the role of nurse in promoting healthy physiologic responses</w:t>
            </w:r>
          </w:p>
          <w:p w:rsidR="0077746F" w:rsidRPr="00EA7077" w:rsidRDefault="0077746F" w:rsidP="0077746F">
            <w:pPr>
              <w:spacing w:line="360" w:lineRule="atLeast"/>
              <w:ind w:left="720" w:right="-540"/>
              <w:rPr>
                <w:rFonts w:asciiTheme="majorBidi" w:hAnsiTheme="majorBidi" w:cstheme="majorBidi"/>
                <w:color w:val="808080"/>
              </w:rPr>
            </w:pPr>
            <w:r w:rsidRPr="00EA707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of patients..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(ii)  Teaching strategies to be used to develop these cognitive skills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-recitations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- reading assignment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- lectures  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(iii)  Methods of assessment of students cognitive skills:  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examination , case study, care plan</w:t>
            </w: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c. Interpersonal Skills and Responsibility 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(i)  Description of the interpersonal skills and capacity to carry responsibility to be developed 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Participate effectively in discussion and projects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(ii)  Teaching strategies to be used to develop these skills and abilities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group discussion , project, 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(iii)  Methods of assessment of students interpersonal skills and capacity to carry responsibility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health education</w:t>
            </w: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,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group discussion , project,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d.   Communication, Information Technology and Numerical Skills 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(i)  Description of the skills to be developed in this domain.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-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communicate effectively in the group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- develop skills for written communication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conduct health education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(ii)  Teaching strategies to be used to develop these skills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Health education, group discussion, case study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(iii)  Methods of assessment of students numerical and communication skills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Health education, group discussion, case study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e.  Psychomotor Skills (if applicable)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(i)  Description of the psychomotor skills to be developed and the level of performance required</w:t>
            </w:r>
          </w:p>
          <w:p w:rsidR="00B47517" w:rsidRPr="00EA7077" w:rsidRDefault="00B47517" w:rsidP="0077746F">
            <w:pPr>
              <w:pStyle w:val="7"/>
              <w:spacing w:after="120"/>
              <w:rPr>
                <w:rFonts w:asciiTheme="majorBidi" w:hAnsiTheme="majorBidi" w:cstheme="majorBidi"/>
                <w:b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-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demonstrate skills in providing comprehensive nursing care for mother and children from infancy to </w:t>
            </w:r>
            <w:r w:rsidR="0077746F"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menopause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with common health problems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(ii)  Teaching strategies to be used to develop these skills:  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patient assignment, demonstration</w:t>
            </w: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</w:tc>
      </w:tr>
      <w:tr w:rsidR="00B47517" w:rsidRPr="00EA7077" w:rsidTr="00A028C5">
        <w:trPr>
          <w:trHeight w:val="64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(iii)  Methods of assessment of students psychomotor skills</w:t>
            </w:r>
          </w:p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  <w:bCs/>
              </w:rPr>
            </w:pP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>patient assignment,  return demonstration</w:t>
            </w:r>
            <w:r w:rsidRPr="00EA7077">
              <w:rPr>
                <w:rFonts w:asciiTheme="majorBidi" w:hAnsiTheme="majorBidi" w:cstheme="majorBidi"/>
                <w:bCs/>
                <w:sz w:val="22"/>
                <w:szCs w:val="22"/>
              </w:rPr>
              <w:t>,</w:t>
            </w:r>
            <w:r w:rsidRPr="00EA707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demonstration</w:t>
            </w: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1260"/>
        <w:gridCol w:w="1260"/>
      </w:tblGrid>
      <w:tr w:rsidR="00B47517" w:rsidRPr="00EA7077" w:rsidTr="00B15E05">
        <w:tc>
          <w:tcPr>
            <w:tcW w:w="8640" w:type="dxa"/>
            <w:gridSpan w:val="4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5. Schedule of Assessment Tasks for Students During the Semester</w:t>
            </w: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c>
          <w:tcPr>
            <w:tcW w:w="90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Assessment </w:t>
            </w:r>
            <w:r w:rsidR="00EA7077"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task (</w:t>
            </w: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eg. essay, test, group project, examination etc.)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Week due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Proportion of Final Assessment</w:t>
            </w:r>
          </w:p>
        </w:tc>
      </w:tr>
      <w:tr w:rsidR="00B47517" w:rsidRPr="00EA7077" w:rsidTr="00B15E05">
        <w:trPr>
          <w:trHeight w:val="260"/>
        </w:trPr>
        <w:tc>
          <w:tcPr>
            <w:tcW w:w="90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1</w:t>
            </w: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220" w:type="dxa"/>
          </w:tcPr>
          <w:p w:rsidR="00B47517" w:rsidRPr="00EA7077" w:rsidRDefault="00102042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Quizzes </w:t>
            </w:r>
          </w:p>
        </w:tc>
        <w:tc>
          <w:tcPr>
            <w:tcW w:w="1260" w:type="dxa"/>
          </w:tcPr>
          <w:p w:rsidR="00B47517" w:rsidRPr="00EA7077" w:rsidRDefault="00102042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6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and 10 th </w:t>
            </w:r>
          </w:p>
        </w:tc>
        <w:tc>
          <w:tcPr>
            <w:tcW w:w="1260" w:type="dxa"/>
          </w:tcPr>
          <w:p w:rsidR="00B47517" w:rsidRPr="00EA7077" w:rsidRDefault="00102042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20%</w:t>
            </w:r>
          </w:p>
        </w:tc>
      </w:tr>
      <w:tr w:rsidR="00B47517" w:rsidRPr="00EA7077" w:rsidTr="00B15E05">
        <w:trPr>
          <w:trHeight w:val="260"/>
        </w:trPr>
        <w:tc>
          <w:tcPr>
            <w:tcW w:w="90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2</w:t>
            </w: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522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Midterm examination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13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week 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20%</w:t>
            </w:r>
          </w:p>
        </w:tc>
      </w:tr>
      <w:tr w:rsidR="00B47517" w:rsidRPr="00EA7077" w:rsidTr="00B15E05">
        <w:trPr>
          <w:trHeight w:val="260"/>
        </w:trPr>
        <w:tc>
          <w:tcPr>
            <w:tcW w:w="90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3</w:t>
            </w: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22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Final clinical examination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End of the semester 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20%</w:t>
            </w:r>
          </w:p>
        </w:tc>
      </w:tr>
      <w:tr w:rsidR="00B47517" w:rsidRPr="00EA7077" w:rsidTr="00B15E05">
        <w:trPr>
          <w:trHeight w:val="260"/>
        </w:trPr>
        <w:tc>
          <w:tcPr>
            <w:tcW w:w="90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4</w:t>
            </w: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22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Final written examination</w:t>
            </w: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260" w:type="dxa"/>
          </w:tcPr>
          <w:p w:rsidR="00B47517" w:rsidRPr="00EA7077" w:rsidRDefault="00B47517" w:rsidP="00B15E05">
            <w:pPr>
              <w:spacing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40%</w:t>
            </w:r>
          </w:p>
        </w:tc>
      </w:tr>
    </w:tbl>
    <w:p w:rsidR="00B47517" w:rsidRPr="00EA7077" w:rsidRDefault="00B47517" w:rsidP="00B47517">
      <w:pPr>
        <w:pStyle w:val="7"/>
        <w:spacing w:after="120"/>
        <w:ind w:left="357" w:hanging="357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EA7077">
        <w:rPr>
          <w:rFonts w:asciiTheme="majorBidi" w:hAnsiTheme="majorBidi" w:cstheme="majorBidi"/>
          <w:b/>
          <w:bCs/>
          <w:sz w:val="22"/>
          <w:szCs w:val="22"/>
        </w:rPr>
        <w:t>D.</w:t>
      </w:r>
      <w:r w:rsidRPr="00EA7077">
        <w:rPr>
          <w:rFonts w:asciiTheme="majorBidi" w:hAnsiTheme="majorBidi" w:cstheme="majorBidi"/>
          <w:b/>
          <w:bCs/>
          <w:sz w:val="22"/>
          <w:szCs w:val="22"/>
          <w:lang w:bidi="ar-EG"/>
        </w:rPr>
        <w:t xml:space="preserve"> Student Support</w:t>
      </w: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522"/>
      </w:tblGrid>
      <w:tr w:rsidR="00B47517" w:rsidRPr="00EA7077" w:rsidTr="00B15E05">
        <w:tc>
          <w:tcPr>
            <w:tcW w:w="8856" w:type="dxa"/>
          </w:tcPr>
          <w:p w:rsidR="00B47517" w:rsidRPr="00EA7077" w:rsidRDefault="00B47517" w:rsidP="00B15E05">
            <w:pPr>
              <w:pStyle w:val="30"/>
              <w:rPr>
                <w:rFonts w:asciiTheme="majorBidi" w:hAnsiTheme="majorBidi" w:cstheme="majorBidi"/>
                <w:sz w:val="22"/>
                <w:szCs w:val="22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="00EA7077" w:rsidRPr="00EA7077">
              <w:rPr>
                <w:rFonts w:asciiTheme="majorBidi" w:hAnsiTheme="majorBidi" w:cstheme="majorBidi"/>
                <w:sz w:val="22"/>
                <w:szCs w:val="22"/>
              </w:rPr>
              <w:t>Arrangements for</w:t>
            </w: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 availability of teaching staff for individual student consultations and academic advice. (include amount of time teaching staff are expected to be available each week)</w:t>
            </w:r>
          </w:p>
          <w:p w:rsidR="00B47517" w:rsidRPr="00EA7077" w:rsidRDefault="00B47517" w:rsidP="00B15E05">
            <w:pPr>
              <w:pStyle w:val="3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47517" w:rsidRPr="00EA7077" w:rsidRDefault="00B47517" w:rsidP="00B15E05">
            <w:pPr>
              <w:pStyle w:val="3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3hrs \week in the office </w:t>
            </w:r>
          </w:p>
          <w:p w:rsidR="00B47517" w:rsidRPr="00EA7077" w:rsidRDefault="00B47517" w:rsidP="00B15E05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</w:tbl>
    <w:p w:rsidR="00B47517" w:rsidRPr="00EA7077" w:rsidRDefault="00B47517" w:rsidP="00B47517">
      <w:pPr>
        <w:tabs>
          <w:tab w:val="left" w:pos="0"/>
        </w:tabs>
        <w:rPr>
          <w:rFonts w:asciiTheme="majorBidi" w:hAnsiTheme="majorBidi" w:cstheme="majorBidi"/>
          <w:b/>
          <w:bCs/>
          <w:sz w:val="22"/>
          <w:szCs w:val="22"/>
          <w:lang w:bidi="ar-EG"/>
        </w:rPr>
      </w:pPr>
    </w:p>
    <w:p w:rsidR="00B47517" w:rsidRPr="00EA7077" w:rsidRDefault="00B47517" w:rsidP="00B47517">
      <w:pPr>
        <w:ind w:left="446"/>
        <w:rPr>
          <w:rFonts w:asciiTheme="majorBidi" w:hAnsiTheme="majorBidi" w:cstheme="majorBidi"/>
          <w:sz w:val="22"/>
          <w:szCs w:val="22"/>
          <w:lang w:bidi="ar-EG"/>
        </w:rPr>
      </w:pPr>
    </w:p>
    <w:p w:rsidR="00B47517" w:rsidRPr="00EA7077" w:rsidRDefault="00B47517" w:rsidP="00B47517">
      <w:pPr>
        <w:pStyle w:val="5"/>
        <w:rPr>
          <w:rFonts w:asciiTheme="majorBidi" w:hAnsiTheme="majorBidi" w:cstheme="majorBidi"/>
          <w:sz w:val="22"/>
          <w:szCs w:val="22"/>
        </w:rPr>
      </w:pPr>
      <w:r w:rsidRPr="00EA7077">
        <w:rPr>
          <w:rFonts w:asciiTheme="majorBidi" w:hAnsiTheme="majorBidi" w:cstheme="majorBidi"/>
          <w:sz w:val="22"/>
          <w:szCs w:val="22"/>
        </w:rPr>
        <w:t>E Learning Resources</w:t>
      </w:r>
    </w:p>
    <w:p w:rsidR="00B47517" w:rsidRPr="00EA7077" w:rsidRDefault="00B47517" w:rsidP="00B47517">
      <w:pPr>
        <w:ind w:left="446"/>
        <w:rPr>
          <w:rFonts w:asciiTheme="majorBidi" w:hAnsiTheme="majorBidi" w:cstheme="majorBidi"/>
          <w:b/>
          <w:sz w:val="22"/>
          <w:szCs w:val="22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1. Required Text(s):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WongDL.Hochenberry-EatonM,WilsonD,Wrinkelstein ML, Schwartz, P. Wong's essential of paediatric nursing .6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bidi="ar-EG"/>
              </w:rPr>
              <w:t>th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edition .Mosby co.2001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spacing w:before="240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2. Essential References </w:t>
            </w:r>
          </w:p>
          <w:p w:rsidR="00B47517" w:rsidRPr="00EA7077" w:rsidRDefault="00B47517" w:rsidP="00B15E05">
            <w:pPr>
              <w:spacing w:before="24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spacing w:before="240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3- Recommended Books and Reference Material (Journals, Reports, etc) (Attach List)</w:t>
            </w:r>
          </w:p>
          <w:p w:rsidR="00B47517" w:rsidRPr="00EA7077" w:rsidRDefault="00B47517" w:rsidP="00B15E05">
            <w:pPr>
              <w:spacing w:before="240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Journal of paediatric nursing 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spacing w:before="240"/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4-.Electronic Materials, Web Sites etc</w:t>
            </w:r>
          </w:p>
          <w:p w:rsidR="00B47517" w:rsidRPr="00EA7077" w:rsidRDefault="00C95989" w:rsidP="00B15E05">
            <w:pPr>
              <w:spacing w:before="240"/>
              <w:rPr>
                <w:rFonts w:asciiTheme="majorBidi" w:hAnsiTheme="majorBidi" w:cstheme="majorBidi"/>
                <w:lang w:bidi="ar-EG"/>
              </w:rPr>
            </w:pPr>
            <w:hyperlink r:id="rId8" w:history="1">
              <w:r w:rsidR="00B47517" w:rsidRPr="00EA7077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bidi="ar-EG"/>
                </w:rPr>
                <w:t>www.mosby.com\MERLIN\WONG\Essentials</w:t>
              </w:r>
            </w:hyperlink>
            <w:r w:rsidR="00B47517"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5- Other learning material such as computer-based programs/CD, professional standards/regulations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NA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B47517" w:rsidRPr="00EA7077" w:rsidRDefault="00B47517" w:rsidP="00B47517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A7077">
        <w:rPr>
          <w:rFonts w:asciiTheme="majorBidi" w:hAnsiTheme="majorBidi" w:cstheme="majorBidi"/>
          <w:b/>
          <w:bCs/>
          <w:sz w:val="22"/>
          <w:szCs w:val="22"/>
        </w:rPr>
        <w:t>F. Facilities Required</w:t>
      </w: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pStyle w:val="7"/>
              <w:spacing w:after="12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Indicate requirements for the course including size of classrooms and laboratories (ie number of seats in classrooms and laboratories, extent of computer access etc.)</w:t>
            </w: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ind w:left="360" w:hanging="360"/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1.  Accommodation (Lecture rooms, laboratories, etc.)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Lecture room with 20 seat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>2. Computing resources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Internet facilities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</w:rPr>
              <w:t xml:space="preserve">3. Other resources (specify --eg. If specific laboratory equipment is required, list requirements or attach list)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Clinical facilities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</w:rPr>
            </w:pP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</w:rPr>
      </w:pPr>
    </w:p>
    <w:p w:rsidR="00B47517" w:rsidRPr="00EA7077" w:rsidRDefault="00B47517" w:rsidP="00B47517">
      <w:pPr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EA7077">
        <w:rPr>
          <w:rFonts w:asciiTheme="majorBidi" w:hAnsiTheme="majorBidi" w:cstheme="majorBidi"/>
          <w:b/>
          <w:bCs/>
          <w:sz w:val="22"/>
          <w:szCs w:val="22"/>
        </w:rPr>
        <w:t xml:space="preserve">G  </w:t>
      </w:r>
      <w:r w:rsidRPr="00EA7077">
        <w:rPr>
          <w:rFonts w:asciiTheme="majorBidi" w:hAnsiTheme="majorBidi" w:cstheme="majorBidi"/>
          <w:b/>
          <w:bCs/>
          <w:sz w:val="22"/>
          <w:szCs w:val="22"/>
          <w:lang w:bidi="ar-EG"/>
        </w:rPr>
        <w:t xml:space="preserve"> Course Evaluation and Improvement Processes</w:t>
      </w:r>
    </w:p>
    <w:p w:rsidR="00B47517" w:rsidRPr="00EA7077" w:rsidRDefault="00B47517" w:rsidP="00B47517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1 Strategies for Obtaining Student Feedback on Effectiveness of Teaching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2  Other Strategies for Evaluation of Teaching by the Instructor or by the Department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3  Processes for Improvement of Teaching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rPr>
          <w:trHeight w:val="1608"/>
        </w:trPr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val="en-US"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val="en-US" w:bidi="ar-EG"/>
              </w:rPr>
              <w:t>4. Processes for Verifying Standards of Student Achievement (eg. check marking by an independent  member teaching staff of a sample of student work, periodic exchange and remarking of tests or a sample of assignments with staff at another institution)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Peer evaluation of the classes , evaluation of examination by head of the department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  <w:tr w:rsidR="00B47517" w:rsidRPr="00EA7077" w:rsidTr="00B15E05">
        <w:tc>
          <w:tcPr>
            <w:tcW w:w="8640" w:type="dxa"/>
          </w:tcPr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5  Describe the  planning arrangements for periodically reviewing course effectiveness and planning for improvement.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7077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    </w:t>
            </w:r>
            <w:r w:rsidRPr="00EA707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- Prepare  Stimulatory labs </w:t>
            </w: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  <w:p w:rsidR="00B47517" w:rsidRPr="00EA7077" w:rsidRDefault="00B47517" w:rsidP="00B15E05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val="en-US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val="en-US"/>
        </w:rPr>
      </w:pPr>
    </w:p>
    <w:p w:rsidR="00B47517" w:rsidRPr="00EA7077" w:rsidRDefault="00B47517" w:rsidP="00B47517">
      <w:pPr>
        <w:rPr>
          <w:rFonts w:asciiTheme="majorBidi" w:hAnsiTheme="majorBidi" w:cstheme="majorBidi"/>
          <w:sz w:val="22"/>
          <w:szCs w:val="22"/>
          <w:lang w:val="en-US"/>
        </w:rPr>
      </w:pPr>
    </w:p>
    <w:p w:rsidR="007C7396" w:rsidRPr="00EA7077" w:rsidRDefault="007C7396">
      <w:pPr>
        <w:rPr>
          <w:rFonts w:asciiTheme="majorBidi" w:hAnsiTheme="majorBidi" w:cstheme="majorBidi"/>
          <w:sz w:val="22"/>
          <w:szCs w:val="22"/>
        </w:rPr>
      </w:pPr>
    </w:p>
    <w:sectPr w:rsidR="007C7396" w:rsidRPr="00EA7077" w:rsidSect="00A84129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89" w:rsidRDefault="00C95989" w:rsidP="00F94412">
      <w:r>
        <w:separator/>
      </w:r>
    </w:p>
  </w:endnote>
  <w:endnote w:type="continuationSeparator" w:id="0">
    <w:p w:rsidR="00C95989" w:rsidRDefault="00C95989" w:rsidP="00F9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5" w:rsidRDefault="00223B46" w:rsidP="00313FA6">
    <w:pPr>
      <w:pStyle w:val="a3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B47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5" w:rsidRDefault="00C95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5" w:rsidRDefault="00223B46" w:rsidP="00313FA6">
    <w:pPr>
      <w:pStyle w:val="a3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B475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E89">
      <w:rPr>
        <w:rStyle w:val="a5"/>
        <w:noProof/>
      </w:rPr>
      <w:t>1</w:t>
    </w:r>
    <w:r>
      <w:rPr>
        <w:rStyle w:val="a5"/>
      </w:rPr>
      <w:fldChar w:fldCharType="end"/>
    </w:r>
  </w:p>
  <w:p w:rsidR="00C97AB5" w:rsidRDefault="00C95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89" w:rsidRDefault="00C95989" w:rsidP="00F94412">
      <w:r>
        <w:separator/>
      </w:r>
    </w:p>
  </w:footnote>
  <w:footnote w:type="continuationSeparator" w:id="0">
    <w:p w:rsidR="00C95989" w:rsidRDefault="00C95989" w:rsidP="00F9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EEE"/>
    <w:multiLevelType w:val="hybridMultilevel"/>
    <w:tmpl w:val="AABED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81ED5"/>
    <w:multiLevelType w:val="multilevel"/>
    <w:tmpl w:val="21028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60282"/>
    <w:multiLevelType w:val="hybridMultilevel"/>
    <w:tmpl w:val="DAE89F52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32144B4"/>
    <w:multiLevelType w:val="hybridMultilevel"/>
    <w:tmpl w:val="AA7ABBA4"/>
    <w:lvl w:ilvl="0" w:tplc="F9E2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B6D"/>
    <w:multiLevelType w:val="hybridMultilevel"/>
    <w:tmpl w:val="8E30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4276"/>
    <w:multiLevelType w:val="hybridMultilevel"/>
    <w:tmpl w:val="B4DC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4480"/>
    <w:multiLevelType w:val="hybridMultilevel"/>
    <w:tmpl w:val="539AB4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D853070"/>
    <w:multiLevelType w:val="hybridMultilevel"/>
    <w:tmpl w:val="CE0E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64C5B"/>
    <w:multiLevelType w:val="hybridMultilevel"/>
    <w:tmpl w:val="5B7E8BA0"/>
    <w:lvl w:ilvl="0" w:tplc="24240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2EC9"/>
    <w:multiLevelType w:val="hybridMultilevel"/>
    <w:tmpl w:val="231EB100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58557D51"/>
    <w:multiLevelType w:val="hybridMultilevel"/>
    <w:tmpl w:val="BF4C82A6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6DD12A74"/>
    <w:multiLevelType w:val="hybridMultilevel"/>
    <w:tmpl w:val="CE449EA8"/>
    <w:lvl w:ilvl="0" w:tplc="BD1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7EE0"/>
    <w:multiLevelType w:val="hybridMultilevel"/>
    <w:tmpl w:val="546C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17"/>
    <w:rsid w:val="00102042"/>
    <w:rsid w:val="001C3020"/>
    <w:rsid w:val="00223B46"/>
    <w:rsid w:val="0059523E"/>
    <w:rsid w:val="005A50E5"/>
    <w:rsid w:val="006540A1"/>
    <w:rsid w:val="0077746F"/>
    <w:rsid w:val="007C7396"/>
    <w:rsid w:val="00840E89"/>
    <w:rsid w:val="009501F5"/>
    <w:rsid w:val="00981A94"/>
    <w:rsid w:val="00A028C5"/>
    <w:rsid w:val="00A644C4"/>
    <w:rsid w:val="00B47517"/>
    <w:rsid w:val="00C243C4"/>
    <w:rsid w:val="00C95989"/>
    <w:rsid w:val="00DA4AD8"/>
    <w:rsid w:val="00EA7077"/>
    <w:rsid w:val="00F35409"/>
    <w:rsid w:val="00F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B47517"/>
    <w:pPr>
      <w:keepNext/>
      <w:outlineLvl w:val="0"/>
    </w:pPr>
    <w:rPr>
      <w:b/>
      <w:bCs/>
      <w:sz w:val="36"/>
      <w:lang w:val="en-US"/>
    </w:rPr>
  </w:style>
  <w:style w:type="paragraph" w:styleId="2">
    <w:name w:val="heading 2"/>
    <w:basedOn w:val="a"/>
    <w:next w:val="a"/>
    <w:link w:val="2Char"/>
    <w:qFormat/>
    <w:rsid w:val="00B47517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Char"/>
    <w:qFormat/>
    <w:rsid w:val="00B47517"/>
    <w:pPr>
      <w:keepNext/>
      <w:jc w:val="center"/>
      <w:outlineLvl w:val="2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Char"/>
    <w:qFormat/>
    <w:rsid w:val="00B47517"/>
    <w:pPr>
      <w:keepNext/>
      <w:ind w:left="446" w:hanging="446"/>
      <w:outlineLvl w:val="4"/>
    </w:pPr>
    <w:rPr>
      <w:b/>
      <w:szCs w:val="28"/>
      <w:lang w:bidi="ar-EG"/>
    </w:rPr>
  </w:style>
  <w:style w:type="paragraph" w:styleId="7">
    <w:name w:val="heading 7"/>
    <w:basedOn w:val="a"/>
    <w:next w:val="a"/>
    <w:link w:val="7Char"/>
    <w:qFormat/>
    <w:rsid w:val="00B47517"/>
    <w:pPr>
      <w:spacing w:before="240" w:after="60"/>
      <w:outlineLvl w:val="6"/>
    </w:pPr>
  </w:style>
  <w:style w:type="paragraph" w:styleId="9">
    <w:name w:val="heading 9"/>
    <w:basedOn w:val="a"/>
    <w:next w:val="a"/>
    <w:link w:val="9Char"/>
    <w:qFormat/>
    <w:rsid w:val="00B475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751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basedOn w:val="a0"/>
    <w:link w:val="2"/>
    <w:rsid w:val="00B475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B4751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Char">
    <w:name w:val="عنوان 5 Char"/>
    <w:basedOn w:val="a0"/>
    <w:link w:val="5"/>
    <w:rsid w:val="00B47517"/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character" w:customStyle="1" w:styleId="7Char">
    <w:name w:val="عنوان 7 Char"/>
    <w:basedOn w:val="a0"/>
    <w:link w:val="7"/>
    <w:rsid w:val="00B47517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B47517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B4751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B4751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0">
    <w:name w:val="Body Text 3"/>
    <w:basedOn w:val="a"/>
    <w:link w:val="3Char0"/>
    <w:rsid w:val="00B47517"/>
    <w:rPr>
      <w:sz w:val="20"/>
      <w:szCs w:val="20"/>
      <w:lang w:bidi="ar-EG"/>
    </w:rPr>
  </w:style>
  <w:style w:type="character" w:customStyle="1" w:styleId="3Char0">
    <w:name w:val="نص أساسي 3 Char"/>
    <w:basedOn w:val="a0"/>
    <w:link w:val="30"/>
    <w:rsid w:val="00B47517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table" w:styleId="a4">
    <w:name w:val="Table Grid"/>
    <w:basedOn w:val="a1"/>
    <w:rsid w:val="00B4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47517"/>
  </w:style>
  <w:style w:type="character" w:styleId="Hyperlink">
    <w:name w:val="Hyperlink"/>
    <w:basedOn w:val="a0"/>
    <w:rsid w:val="00B47517"/>
    <w:rPr>
      <w:color w:val="0000FF"/>
      <w:u w:val="single"/>
    </w:rPr>
  </w:style>
  <w:style w:type="character" w:styleId="a6">
    <w:name w:val="Strong"/>
    <w:basedOn w:val="a0"/>
    <w:uiPriority w:val="22"/>
    <w:qFormat/>
    <w:rsid w:val="00B47517"/>
    <w:rPr>
      <w:b/>
      <w:bCs/>
    </w:rPr>
  </w:style>
  <w:style w:type="paragraph" w:styleId="a7">
    <w:name w:val="List Paragraph"/>
    <w:basedOn w:val="a"/>
    <w:uiPriority w:val="34"/>
    <w:qFormat/>
    <w:rsid w:val="00A6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B47517"/>
    <w:pPr>
      <w:keepNext/>
      <w:outlineLvl w:val="0"/>
    </w:pPr>
    <w:rPr>
      <w:b/>
      <w:bCs/>
      <w:sz w:val="36"/>
      <w:lang w:val="en-US"/>
    </w:rPr>
  </w:style>
  <w:style w:type="paragraph" w:styleId="2">
    <w:name w:val="heading 2"/>
    <w:basedOn w:val="a"/>
    <w:next w:val="a"/>
    <w:link w:val="2Char"/>
    <w:qFormat/>
    <w:rsid w:val="00B47517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Char"/>
    <w:qFormat/>
    <w:rsid w:val="00B47517"/>
    <w:pPr>
      <w:keepNext/>
      <w:jc w:val="center"/>
      <w:outlineLvl w:val="2"/>
    </w:pPr>
    <w:rPr>
      <w:b/>
      <w:bCs/>
      <w:sz w:val="32"/>
      <w:lang w:val="en-US"/>
    </w:rPr>
  </w:style>
  <w:style w:type="paragraph" w:styleId="5">
    <w:name w:val="heading 5"/>
    <w:basedOn w:val="a"/>
    <w:next w:val="a"/>
    <w:link w:val="5Char"/>
    <w:qFormat/>
    <w:rsid w:val="00B47517"/>
    <w:pPr>
      <w:keepNext/>
      <w:ind w:left="446" w:hanging="446"/>
      <w:outlineLvl w:val="4"/>
    </w:pPr>
    <w:rPr>
      <w:b/>
      <w:szCs w:val="28"/>
      <w:lang w:bidi="ar-EG"/>
    </w:rPr>
  </w:style>
  <w:style w:type="paragraph" w:styleId="7">
    <w:name w:val="heading 7"/>
    <w:basedOn w:val="a"/>
    <w:next w:val="a"/>
    <w:link w:val="7Char"/>
    <w:qFormat/>
    <w:rsid w:val="00B47517"/>
    <w:pPr>
      <w:spacing w:before="240" w:after="60"/>
      <w:outlineLvl w:val="6"/>
    </w:pPr>
  </w:style>
  <w:style w:type="paragraph" w:styleId="9">
    <w:name w:val="heading 9"/>
    <w:basedOn w:val="a"/>
    <w:next w:val="a"/>
    <w:link w:val="9Char"/>
    <w:qFormat/>
    <w:rsid w:val="00B475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751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basedOn w:val="a0"/>
    <w:link w:val="2"/>
    <w:rsid w:val="00B475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B4751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Char">
    <w:name w:val="عنوان 5 Char"/>
    <w:basedOn w:val="a0"/>
    <w:link w:val="5"/>
    <w:rsid w:val="00B47517"/>
    <w:rPr>
      <w:rFonts w:ascii="Times New Roman" w:eastAsia="Times New Roman" w:hAnsi="Times New Roman" w:cs="Times New Roman"/>
      <w:b/>
      <w:sz w:val="24"/>
      <w:szCs w:val="28"/>
      <w:lang w:val="en-AU" w:bidi="ar-EG"/>
    </w:rPr>
  </w:style>
  <w:style w:type="character" w:customStyle="1" w:styleId="7Char">
    <w:name w:val="عنوان 7 Char"/>
    <w:basedOn w:val="a0"/>
    <w:link w:val="7"/>
    <w:rsid w:val="00B47517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B47517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B4751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B4751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30">
    <w:name w:val="Body Text 3"/>
    <w:basedOn w:val="a"/>
    <w:link w:val="3Char0"/>
    <w:rsid w:val="00B47517"/>
    <w:rPr>
      <w:sz w:val="20"/>
      <w:szCs w:val="20"/>
      <w:lang w:bidi="ar-EG"/>
    </w:rPr>
  </w:style>
  <w:style w:type="character" w:customStyle="1" w:styleId="3Char0">
    <w:name w:val="نص أساسي 3 Char"/>
    <w:basedOn w:val="a0"/>
    <w:link w:val="30"/>
    <w:rsid w:val="00B47517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table" w:styleId="a4">
    <w:name w:val="Table Grid"/>
    <w:basedOn w:val="a1"/>
    <w:rsid w:val="00B4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47517"/>
  </w:style>
  <w:style w:type="character" w:styleId="Hyperlink">
    <w:name w:val="Hyperlink"/>
    <w:basedOn w:val="a0"/>
    <w:rsid w:val="00B47517"/>
    <w:rPr>
      <w:color w:val="0000FF"/>
      <w:u w:val="single"/>
    </w:rPr>
  </w:style>
  <w:style w:type="character" w:styleId="a6">
    <w:name w:val="Strong"/>
    <w:basedOn w:val="a0"/>
    <w:uiPriority w:val="22"/>
    <w:qFormat/>
    <w:rsid w:val="00B47517"/>
    <w:rPr>
      <w:b/>
      <w:bCs/>
    </w:rPr>
  </w:style>
  <w:style w:type="paragraph" w:styleId="a7">
    <w:name w:val="List Paragraph"/>
    <w:basedOn w:val="a"/>
    <w:uiPriority w:val="34"/>
    <w:qFormat/>
    <w:rsid w:val="00A6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by.com\MERLIN\WONG\Essent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SAHAR-YAKOUT</dc:creator>
  <cp:lastModifiedBy>Toshiba-</cp:lastModifiedBy>
  <cp:revision>2</cp:revision>
  <dcterms:created xsi:type="dcterms:W3CDTF">2014-09-10T16:52:00Z</dcterms:created>
  <dcterms:modified xsi:type="dcterms:W3CDTF">2014-09-10T16:52:00Z</dcterms:modified>
</cp:coreProperties>
</file>