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89" w:rsidRPr="009F2489" w:rsidRDefault="009F2489" w:rsidP="009F2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F2489">
        <w:rPr>
          <w:rFonts w:ascii="Traditional Arabic" w:eastAsia="Calibri" w:hAnsi="Traditional Arabic" w:cs="Times New Roman"/>
          <w:color w:val="000000"/>
          <w:sz w:val="28"/>
          <w:szCs w:val="28"/>
          <w:rtl/>
        </w:rPr>
        <w:t> </w:t>
      </w:r>
    </w:p>
    <w:tbl>
      <w:tblPr>
        <w:bidiVisual/>
        <w:tblW w:w="7654" w:type="dxa"/>
        <w:tblInd w:w="476" w:type="dxa"/>
        <w:tblBorders>
          <w:top w:val="single" w:sz="12" w:space="0" w:color="008000"/>
          <w:left w:val="outset" w:sz="6" w:space="0" w:color="auto"/>
          <w:bottom w:val="single" w:sz="12" w:space="0" w:color="008000"/>
          <w:right w:val="outset" w:sz="6" w:space="0" w:color="auto"/>
        </w:tblBorders>
        <w:tblLook w:val="04A0"/>
      </w:tblPr>
      <w:tblGrid>
        <w:gridCol w:w="681"/>
        <w:gridCol w:w="4111"/>
        <w:gridCol w:w="2862"/>
      </w:tblGrid>
      <w:tr w:rsidR="009F2489" w:rsidRPr="009F2489" w:rsidTr="009F2489">
        <w:tc>
          <w:tcPr>
            <w:tcW w:w="681" w:type="dxa"/>
            <w:tcBorders>
              <w:top w:val="single" w:sz="12" w:space="0" w:color="008000"/>
              <w:left w:val="single" w:sz="12" w:space="0" w:color="948A54"/>
              <w:bottom w:val="single" w:sz="6" w:space="0" w:color="008000"/>
              <w:right w:val="nil"/>
            </w:tcBorders>
            <w:shd w:val="clear" w:color="auto" w:fill="F2F2F2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Hesham Cortoba" w:eastAsia="Times New Roman" w:hAnsi="Hesham Cortoba" w:cs="Times New Roman"/>
                <w:sz w:val="26"/>
                <w:szCs w:val="26"/>
                <w:rtl/>
              </w:rPr>
              <w:t>م</w:t>
            </w:r>
          </w:p>
        </w:tc>
        <w:tc>
          <w:tcPr>
            <w:tcW w:w="4111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shd w:val="clear" w:color="auto" w:fill="F2F2F2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Hesham Cortoba" w:eastAsia="Times New Roman" w:hAnsi="Hesham Cortoba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2862" w:type="dxa"/>
            <w:tcBorders>
              <w:top w:val="single" w:sz="12" w:space="0" w:color="008000"/>
              <w:left w:val="nil"/>
              <w:bottom w:val="single" w:sz="6" w:space="0" w:color="008000"/>
              <w:right w:val="single" w:sz="12" w:space="0" w:color="948A54"/>
            </w:tcBorders>
            <w:shd w:val="clear" w:color="auto" w:fill="F2F2F2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Hesham Cortoba" w:eastAsia="Times New Roman" w:hAnsi="Hesham Cortoba" w:cs="Times New Roman"/>
                <w:sz w:val="26"/>
                <w:szCs w:val="26"/>
                <w:rtl/>
              </w:rPr>
              <w:t> </w:t>
            </w:r>
          </w:p>
        </w:tc>
      </w:tr>
      <w:tr w:rsidR="009F2489" w:rsidRPr="009F2489" w:rsidTr="009F2489">
        <w:tc>
          <w:tcPr>
            <w:tcW w:w="681" w:type="dxa"/>
            <w:tcBorders>
              <w:top w:val="nil"/>
              <w:left w:val="single" w:sz="12" w:space="0" w:color="948A54"/>
              <w:bottom w:val="single" w:sz="4" w:space="0" w:color="EAF1DD"/>
              <w:right w:val="nil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9F2489">
              <w:rPr>
                <w:rFonts w:ascii="Traditional Arabic" w:eastAsia="Traditional Arabic" w:hAnsi="Traditional Arabic" w:cs="Traditional Arabic"/>
                <w:sz w:val="30"/>
                <w:szCs w:val="30"/>
                <w:rtl/>
              </w:rPr>
              <w:t>1.</w:t>
            </w:r>
            <w:proofErr w:type="spellEnd"/>
            <w:r w:rsidRPr="009F2489">
              <w:rPr>
                <w:rFonts w:ascii="Times New Roman" w:eastAsia="Traditional Arabic" w:hAnsi="Times New Roman" w:cs="Times New Roman"/>
                <w:sz w:val="14"/>
                <w:szCs w:val="14"/>
                <w:rtl/>
              </w:rPr>
              <w:t xml:space="preserve">     </w:t>
            </w:r>
          </w:p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9F2489"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EAF1DD"/>
              <w:right w:val="single" w:sz="12" w:space="0" w:color="948A54"/>
            </w:tcBorders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اسم المقرر و رمزه</w:t>
            </w:r>
          </w:p>
        </w:tc>
        <w:tc>
          <w:tcPr>
            <w:tcW w:w="2862" w:type="dxa"/>
            <w:tcBorders>
              <w:top w:val="nil"/>
              <w:left w:val="single" w:sz="12" w:space="0" w:color="948A54"/>
              <w:bottom w:val="single" w:sz="4" w:space="0" w:color="EAF1DD"/>
              <w:right w:val="single" w:sz="12" w:space="0" w:color="948A54"/>
            </w:tcBorders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313عرب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النثر العربي القديم (2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9F2489" w:rsidRPr="009F2489" w:rsidTr="009F2489">
        <w:tc>
          <w:tcPr>
            <w:tcW w:w="681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nil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9F2489">
              <w:rPr>
                <w:rFonts w:ascii="Traditional Arabic" w:eastAsia="Traditional Arabic" w:hAnsi="Traditional Arabic" w:cs="Traditional Arabic"/>
                <w:sz w:val="30"/>
                <w:szCs w:val="30"/>
                <w:rtl/>
              </w:rPr>
              <w:t>2.</w:t>
            </w:r>
            <w:proofErr w:type="spellEnd"/>
            <w:r w:rsidRPr="009F2489">
              <w:rPr>
                <w:rFonts w:ascii="Times New Roman" w:eastAsia="Traditional Arabic" w:hAnsi="Times New Roman" w:cs="Times New Roman"/>
                <w:sz w:val="14"/>
                <w:szCs w:val="14"/>
                <w:rtl/>
              </w:rPr>
              <w:t xml:space="preserve">     </w:t>
            </w:r>
          </w:p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9F2489"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  <w:t> </w:t>
            </w:r>
          </w:p>
        </w:tc>
        <w:tc>
          <w:tcPr>
            <w:tcW w:w="4111" w:type="dxa"/>
            <w:tcBorders>
              <w:top w:val="single" w:sz="4" w:space="0" w:color="EAF1DD"/>
              <w:left w:val="nil"/>
              <w:bottom w:val="single" w:sz="4" w:space="0" w:color="EAF1DD"/>
              <w:right w:val="single" w:sz="12" w:space="0" w:color="948A54"/>
            </w:tcBorders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2862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single" w:sz="12" w:space="0" w:color="948A54"/>
            </w:tcBorders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ساعتان</w:t>
            </w:r>
          </w:p>
        </w:tc>
      </w:tr>
      <w:tr w:rsidR="009F2489" w:rsidRPr="009F2489" w:rsidTr="009F2489">
        <w:tc>
          <w:tcPr>
            <w:tcW w:w="681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nil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9F2489">
              <w:rPr>
                <w:rFonts w:ascii="Traditional Arabic" w:eastAsia="Traditional Arabic" w:hAnsi="Traditional Arabic" w:cs="Traditional Arabic"/>
                <w:sz w:val="30"/>
                <w:szCs w:val="30"/>
                <w:rtl/>
              </w:rPr>
              <w:t>3.</w:t>
            </w:r>
            <w:proofErr w:type="spellEnd"/>
            <w:r w:rsidRPr="009F2489">
              <w:rPr>
                <w:rFonts w:ascii="Times New Roman" w:eastAsia="Traditional Arabic" w:hAnsi="Times New Roman" w:cs="Times New Roman"/>
                <w:sz w:val="14"/>
                <w:szCs w:val="14"/>
                <w:rtl/>
              </w:rPr>
              <w:t xml:space="preserve">     </w:t>
            </w:r>
          </w:p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9F2489"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  <w:t> </w:t>
            </w:r>
          </w:p>
        </w:tc>
        <w:tc>
          <w:tcPr>
            <w:tcW w:w="4111" w:type="dxa"/>
            <w:tcBorders>
              <w:top w:val="single" w:sz="4" w:space="0" w:color="EAF1DD"/>
              <w:left w:val="nil"/>
              <w:bottom w:val="single" w:sz="4" w:space="0" w:color="EAF1DD"/>
              <w:right w:val="single" w:sz="12" w:space="0" w:color="948A54"/>
            </w:tcBorders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البرنامج أو البرامج التي يتم تقديم المقرر ضمنها</w:t>
            </w:r>
          </w:p>
        </w:tc>
        <w:tc>
          <w:tcPr>
            <w:tcW w:w="2862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single" w:sz="12" w:space="0" w:color="948A54"/>
            </w:tcBorders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اللغة العربية وآدابها</w:t>
            </w:r>
          </w:p>
        </w:tc>
      </w:tr>
      <w:tr w:rsidR="009F2489" w:rsidRPr="009F2489" w:rsidTr="009F2489">
        <w:tc>
          <w:tcPr>
            <w:tcW w:w="681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nil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9F2489">
              <w:rPr>
                <w:rFonts w:ascii="Traditional Arabic" w:eastAsia="Traditional Arabic" w:hAnsi="Traditional Arabic" w:cs="Traditional Arabic"/>
                <w:sz w:val="30"/>
                <w:szCs w:val="30"/>
                <w:rtl/>
              </w:rPr>
              <w:t>4.</w:t>
            </w:r>
            <w:proofErr w:type="spellEnd"/>
            <w:r w:rsidRPr="009F2489">
              <w:rPr>
                <w:rFonts w:ascii="Times New Roman" w:eastAsia="Traditional Arabic" w:hAnsi="Times New Roman" w:cs="Times New Roman"/>
                <w:sz w:val="14"/>
                <w:szCs w:val="14"/>
                <w:rtl/>
              </w:rPr>
              <w:t xml:space="preserve">     </w:t>
            </w:r>
          </w:p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  <w:t> </w:t>
            </w:r>
          </w:p>
        </w:tc>
        <w:tc>
          <w:tcPr>
            <w:tcW w:w="4111" w:type="dxa"/>
            <w:tcBorders>
              <w:top w:val="single" w:sz="4" w:space="0" w:color="EAF1DD"/>
              <w:left w:val="nil"/>
              <w:bottom w:val="single" w:sz="4" w:space="0" w:color="EAF1DD"/>
              <w:right w:val="single" w:sz="12" w:space="0" w:color="948A54"/>
            </w:tcBorders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اسم عضو هيئة التدريس المسئول عن تدريس  المقرر</w:t>
            </w:r>
          </w:p>
        </w:tc>
        <w:tc>
          <w:tcPr>
            <w:tcW w:w="2862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single" w:sz="12" w:space="0" w:color="948A54"/>
            </w:tcBorders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لجنة الأدب</w:t>
            </w:r>
          </w:p>
        </w:tc>
      </w:tr>
      <w:tr w:rsidR="009F2489" w:rsidRPr="009F2489" w:rsidTr="009F2489">
        <w:tc>
          <w:tcPr>
            <w:tcW w:w="681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nil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9F2489">
              <w:rPr>
                <w:rFonts w:ascii="Traditional Arabic" w:eastAsia="Traditional Arabic" w:hAnsi="Traditional Arabic" w:cs="Traditional Arabic"/>
                <w:sz w:val="30"/>
                <w:szCs w:val="30"/>
                <w:rtl/>
              </w:rPr>
              <w:t>5.</w:t>
            </w:r>
            <w:proofErr w:type="spellEnd"/>
            <w:r w:rsidRPr="009F2489">
              <w:rPr>
                <w:rFonts w:ascii="Times New Roman" w:eastAsia="Traditional Arabic" w:hAnsi="Times New Roman" w:cs="Times New Roman"/>
                <w:sz w:val="14"/>
                <w:szCs w:val="14"/>
                <w:rtl/>
              </w:rPr>
              <w:t xml:space="preserve">     </w:t>
            </w:r>
          </w:p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  <w:t> </w:t>
            </w:r>
          </w:p>
        </w:tc>
        <w:tc>
          <w:tcPr>
            <w:tcW w:w="4111" w:type="dxa"/>
            <w:tcBorders>
              <w:top w:val="single" w:sz="4" w:space="0" w:color="EAF1DD"/>
              <w:left w:val="nil"/>
              <w:bottom w:val="single" w:sz="4" w:space="0" w:color="EAF1DD"/>
              <w:right w:val="single" w:sz="12" w:space="0" w:color="948A54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المستوى أو السنة التي سيتم تقديم هذه المقرر فيه</w:t>
            </w:r>
          </w:p>
        </w:tc>
        <w:tc>
          <w:tcPr>
            <w:tcW w:w="2862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single" w:sz="12" w:space="0" w:color="948A54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المستوى الخامس</w:t>
            </w:r>
          </w:p>
        </w:tc>
      </w:tr>
      <w:tr w:rsidR="009F2489" w:rsidRPr="009F2489" w:rsidTr="009F2489">
        <w:tc>
          <w:tcPr>
            <w:tcW w:w="681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nil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9F2489">
              <w:rPr>
                <w:rFonts w:ascii="Traditional Arabic" w:eastAsia="Traditional Arabic" w:hAnsi="Traditional Arabic" w:cs="Traditional Arabic"/>
                <w:sz w:val="30"/>
                <w:szCs w:val="30"/>
                <w:rtl/>
              </w:rPr>
              <w:t>6.</w:t>
            </w:r>
            <w:proofErr w:type="spellEnd"/>
            <w:r w:rsidRPr="009F2489">
              <w:rPr>
                <w:rFonts w:ascii="Times New Roman" w:eastAsia="Traditional Arabic" w:hAnsi="Times New Roman" w:cs="Times New Roman"/>
                <w:sz w:val="14"/>
                <w:szCs w:val="14"/>
                <w:rtl/>
              </w:rPr>
              <w:t xml:space="preserve">     </w:t>
            </w:r>
          </w:p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  <w:t> </w:t>
            </w:r>
          </w:p>
        </w:tc>
        <w:tc>
          <w:tcPr>
            <w:tcW w:w="4111" w:type="dxa"/>
            <w:tcBorders>
              <w:top w:val="single" w:sz="4" w:space="0" w:color="EAF1DD"/>
              <w:left w:val="nil"/>
              <w:bottom w:val="single" w:sz="4" w:space="0" w:color="EAF1DD"/>
              <w:right w:val="single" w:sz="12" w:space="0" w:color="948A54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المتطلبات المسبقة لهذه المقرر(إن وجدت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):</w:t>
            </w:r>
            <w:proofErr w:type="spellEnd"/>
          </w:p>
        </w:tc>
        <w:tc>
          <w:tcPr>
            <w:tcW w:w="2862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single" w:sz="12" w:space="0" w:color="948A54"/>
            </w:tcBorders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213عرب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النثر العربي القديم (1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9F2489" w:rsidRPr="009F2489" w:rsidTr="009F2489">
        <w:tc>
          <w:tcPr>
            <w:tcW w:w="681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nil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9F2489">
              <w:rPr>
                <w:rFonts w:ascii="Traditional Arabic" w:eastAsia="Traditional Arabic" w:hAnsi="Traditional Arabic" w:cs="Traditional Arabic"/>
                <w:sz w:val="30"/>
                <w:szCs w:val="30"/>
                <w:rtl/>
              </w:rPr>
              <w:t>7.</w:t>
            </w:r>
            <w:proofErr w:type="spellEnd"/>
            <w:r w:rsidRPr="009F2489">
              <w:rPr>
                <w:rFonts w:ascii="Times New Roman" w:eastAsia="Traditional Arabic" w:hAnsi="Times New Roman" w:cs="Times New Roman"/>
                <w:sz w:val="14"/>
                <w:szCs w:val="14"/>
                <w:rtl/>
              </w:rPr>
              <w:t xml:space="preserve">     </w:t>
            </w:r>
          </w:p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  <w:t> </w:t>
            </w:r>
          </w:p>
        </w:tc>
        <w:tc>
          <w:tcPr>
            <w:tcW w:w="4111" w:type="dxa"/>
            <w:tcBorders>
              <w:top w:val="single" w:sz="4" w:space="0" w:color="EAF1DD"/>
              <w:left w:val="nil"/>
              <w:bottom w:val="single" w:sz="4" w:space="0" w:color="EAF1DD"/>
              <w:right w:val="single" w:sz="12" w:space="0" w:color="948A54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المتطلبات المصاحبة لهذه المقرر(إن وجدت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):</w:t>
            </w:r>
            <w:proofErr w:type="spellEnd"/>
          </w:p>
        </w:tc>
        <w:tc>
          <w:tcPr>
            <w:tcW w:w="2862" w:type="dxa"/>
            <w:tcBorders>
              <w:top w:val="single" w:sz="4" w:space="0" w:color="EAF1DD"/>
              <w:left w:val="single" w:sz="12" w:space="0" w:color="948A54"/>
              <w:bottom w:val="single" w:sz="4" w:space="0" w:color="EAF1DD"/>
              <w:right w:val="single" w:sz="12" w:space="0" w:color="948A54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لا يوجد.</w:t>
            </w:r>
          </w:p>
        </w:tc>
      </w:tr>
      <w:tr w:rsidR="009F2489" w:rsidRPr="009F2489" w:rsidTr="009F2489">
        <w:tc>
          <w:tcPr>
            <w:tcW w:w="681" w:type="dxa"/>
            <w:tcBorders>
              <w:top w:val="single" w:sz="4" w:space="0" w:color="EAF1DD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9F2489">
              <w:rPr>
                <w:rFonts w:ascii="Traditional Arabic" w:eastAsia="Traditional Arabic" w:hAnsi="Traditional Arabic" w:cs="Traditional Arabic"/>
                <w:sz w:val="30"/>
                <w:szCs w:val="30"/>
                <w:rtl/>
              </w:rPr>
              <w:t>8.</w:t>
            </w:r>
            <w:proofErr w:type="spellEnd"/>
            <w:r w:rsidRPr="009F2489">
              <w:rPr>
                <w:rFonts w:ascii="Times New Roman" w:eastAsia="Traditional Arabic" w:hAnsi="Times New Roman" w:cs="Times New Roman"/>
                <w:sz w:val="14"/>
                <w:szCs w:val="14"/>
                <w:rtl/>
              </w:rPr>
              <w:t xml:space="preserve">     </w:t>
            </w:r>
          </w:p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  <w:t> </w:t>
            </w:r>
          </w:p>
        </w:tc>
        <w:tc>
          <w:tcPr>
            <w:tcW w:w="4111" w:type="dxa"/>
            <w:tcBorders>
              <w:top w:val="single" w:sz="4" w:space="0" w:color="EAF1DD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مكان تدريس المقرر إن لم يكن في المقر الرئيسي للمؤسسة التعليمية:  </w:t>
            </w:r>
          </w:p>
        </w:tc>
        <w:tc>
          <w:tcPr>
            <w:tcW w:w="2862" w:type="dxa"/>
            <w:tcBorders>
              <w:top w:val="single" w:sz="4" w:space="0" w:color="EAF1DD"/>
              <w:left w:val="single" w:sz="12" w:space="0" w:color="948A54"/>
              <w:bottom w:val="single" w:sz="12" w:space="0" w:color="auto"/>
              <w:right w:val="single" w:sz="12" w:space="0" w:color="auto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الجامعة نفسها</w:t>
            </w:r>
          </w:p>
        </w:tc>
      </w:tr>
    </w:tbl>
    <w:p w:rsidR="009F2489" w:rsidRDefault="009F2489" w:rsidP="009F2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9F2489">
        <w:rPr>
          <w:rFonts w:ascii="Traditional Arabic" w:eastAsia="Calibri" w:hAnsi="Traditional Arabic" w:cs="Times New Roman"/>
          <w:color w:val="000000"/>
          <w:sz w:val="28"/>
          <w:szCs w:val="28"/>
          <w:rtl/>
        </w:rPr>
        <w:t> </w:t>
      </w:r>
    </w:p>
    <w:p w:rsidR="009F2489" w:rsidRDefault="009F2489" w:rsidP="009F2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9F2489" w:rsidRDefault="009F2489" w:rsidP="009F2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9F2489" w:rsidRDefault="009F2489" w:rsidP="009F2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9F2489" w:rsidRDefault="009F2489" w:rsidP="009F2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9F2489" w:rsidRPr="009F2489" w:rsidRDefault="009F2489" w:rsidP="009F2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F2489" w:rsidRPr="009F2489" w:rsidRDefault="009F2489" w:rsidP="009F2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F2489">
        <w:rPr>
          <w:rFonts w:ascii="Traditional Arabic" w:eastAsia="Calibri" w:hAnsi="Traditional Arabic" w:cs="Times New Roman"/>
          <w:color w:val="000000"/>
          <w:sz w:val="28"/>
          <w:szCs w:val="28"/>
          <w:rtl/>
        </w:rPr>
        <w:lastRenderedPageBreak/>
        <w:t> </w:t>
      </w:r>
      <w:r w:rsidRPr="009F2489">
        <w:rPr>
          <w:rFonts w:ascii="Hesham Cortoba" w:eastAsia="Times New Roman" w:hAnsi="Hesham Cortoba" w:cs="Times New Roman"/>
          <w:color w:val="000000"/>
          <w:sz w:val="29"/>
          <w:szCs w:val="29"/>
          <w:rtl/>
        </w:rPr>
        <w:t xml:space="preserve">ب </w:t>
      </w:r>
      <w:proofErr w:type="spellStart"/>
      <w:r w:rsidRPr="009F2489">
        <w:rPr>
          <w:rFonts w:ascii="Hesham Cortoba" w:eastAsia="Times New Roman" w:hAnsi="Hesham Cortoba" w:cs="Times New Roman"/>
          <w:color w:val="000000"/>
          <w:sz w:val="29"/>
          <w:szCs w:val="29"/>
          <w:rtl/>
        </w:rPr>
        <w:t>)</w:t>
      </w:r>
      <w:proofErr w:type="spellEnd"/>
      <w:r w:rsidRPr="009F2489">
        <w:rPr>
          <w:rFonts w:ascii="Hesham Cortoba" w:eastAsia="Times New Roman" w:hAnsi="Hesham Cortoba" w:cs="Times New Roman"/>
          <w:color w:val="000000"/>
          <w:sz w:val="29"/>
          <w:szCs w:val="29"/>
          <w:rtl/>
        </w:rPr>
        <w:t xml:space="preserve"> الأهداف </w:t>
      </w:r>
      <w:proofErr w:type="spellStart"/>
      <w:r w:rsidRPr="009F2489">
        <w:rPr>
          <w:rFonts w:ascii="Hesham Cortoba" w:eastAsia="Times New Roman" w:hAnsi="Hesham Cortoba" w:cs="Times New Roman"/>
          <w:color w:val="000000"/>
          <w:sz w:val="29"/>
          <w:szCs w:val="29"/>
          <w:rtl/>
        </w:rPr>
        <w:t>:</w:t>
      </w:r>
      <w:proofErr w:type="spellEnd"/>
    </w:p>
    <w:p w:rsidR="009F2489" w:rsidRPr="009F2489" w:rsidRDefault="009F2489" w:rsidP="009F2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F2489">
        <w:rPr>
          <w:rFonts w:ascii="Symbol" w:eastAsia="Symbol" w:hAnsi="Symbol" w:cs="Times New Roman"/>
          <w:sz w:val="24"/>
          <w:szCs w:val="24"/>
          <w:lang w:bidi="ar-E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pt;height:12pt"/>
        </w:pict>
      </w:r>
      <w:r w:rsidRPr="009F2489">
        <w:rPr>
          <w:rFonts w:ascii="Times New Roman" w:eastAsia="Symbol" w:hAnsi="Times New Roman" w:cs="Times New Roman"/>
          <w:sz w:val="14"/>
          <w:szCs w:val="14"/>
          <w:rtl/>
          <w:lang w:bidi="ar-EG"/>
        </w:rPr>
        <w:t xml:space="preserve">      </w:t>
      </w:r>
    </w:p>
    <w:p w:rsidR="009F2489" w:rsidRPr="009F2489" w:rsidRDefault="009F2489" w:rsidP="009F2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F2489">
        <w:rPr>
          <w:rFonts w:ascii="Traditional Arabic" w:eastAsia="Times New Roman" w:hAnsi="Traditional Arabic" w:cs="Traditional Arabic"/>
          <w:sz w:val="28"/>
          <w:szCs w:val="28"/>
          <w:rtl/>
          <w:lang w:bidi="ar-EG"/>
        </w:rPr>
        <w:t xml:space="preserve">التمييز بين الفنون النثرية وأساليبها المختلفة عبر العصور. </w:t>
      </w:r>
    </w:p>
    <w:p w:rsidR="009F2489" w:rsidRDefault="009F2489" w:rsidP="009F2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9F2489">
        <w:rPr>
          <w:rFonts w:ascii="Traditional Arabic" w:eastAsia="Times New Roman" w:hAnsi="Traditional Arabic" w:cs="Traditional Arabic"/>
          <w:sz w:val="28"/>
          <w:szCs w:val="28"/>
          <w:rtl/>
          <w:lang w:bidi="ar-EG"/>
        </w:rPr>
        <w:t>تنمية حاسة التذوق الأدبي السردي والمقالي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9F2489" w:rsidRPr="009F2489" w:rsidRDefault="009F2489" w:rsidP="009F2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F2489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الاستفادة من البرامج التقنية في </w:t>
      </w:r>
      <w:r w:rsidRPr="009F2489">
        <w:rPr>
          <w:rFonts w:ascii="Traditional Arabic" w:eastAsia="Times New Roman" w:hAnsi="Traditional Arabic" w:cs="Traditional Arabic"/>
          <w:sz w:val="28"/>
          <w:szCs w:val="28"/>
          <w:rtl/>
          <w:lang w:bidi="ar-EG"/>
        </w:rPr>
        <w:t>إطار الإلقاء والخطابة والمناظرة.</w:t>
      </w:r>
    </w:p>
    <w:p w:rsidR="009F2489" w:rsidRPr="009F2489" w:rsidRDefault="009F2489" w:rsidP="009F2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F2489">
        <w:rPr>
          <w:rFonts w:ascii="Hesham Cortoba" w:eastAsia="Times New Roman" w:hAnsi="Hesham Cortoba" w:cs="Times New Roman"/>
          <w:color w:val="000000"/>
          <w:sz w:val="29"/>
          <w:szCs w:val="29"/>
          <w:rtl/>
        </w:rPr>
        <w:t> </w:t>
      </w:r>
    </w:p>
    <w:tbl>
      <w:tblPr>
        <w:bidiVisual/>
        <w:tblW w:w="8295" w:type="dxa"/>
        <w:tblInd w:w="91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1E0"/>
      </w:tblPr>
      <w:tblGrid>
        <w:gridCol w:w="6450"/>
        <w:gridCol w:w="853"/>
        <w:gridCol w:w="992"/>
      </w:tblGrid>
      <w:tr w:rsidR="009F2489" w:rsidRPr="009F2489" w:rsidTr="009F2489">
        <w:tc>
          <w:tcPr>
            <w:tcW w:w="6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SC_DUBAI" w:eastAsia="Times New Roman" w:hAnsi="SC_DUBAI" w:cs="Times New Roman"/>
                <w:sz w:val="26"/>
                <w:szCs w:val="26"/>
                <w:rtl/>
              </w:rPr>
              <w:t>مفردات المقرر الدراسي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SC_DUBAI" w:eastAsia="Times New Roman" w:hAnsi="SC_DUBAI" w:cs="Times New Roman"/>
                <w:sz w:val="26"/>
                <w:szCs w:val="26"/>
                <w:rtl/>
              </w:rPr>
              <w:t>عدد الأسابيع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SC_DUBAI" w:eastAsia="Times New Roman" w:hAnsi="SC_DUBAI" w:cs="Times New Roman"/>
                <w:sz w:val="26"/>
                <w:szCs w:val="26"/>
                <w:rtl/>
              </w:rPr>
              <w:t>ساعات الاتصال</w:t>
            </w:r>
          </w:p>
        </w:tc>
      </w:tr>
      <w:tr w:rsidR="009F2489" w:rsidRPr="009F2489" w:rsidTr="009F2489">
        <w:tc>
          <w:tcPr>
            <w:tcW w:w="6452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nil"/>
            </w:tcBorders>
            <w:shd w:val="clear" w:color="auto" w:fill="FFF3F3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مقدمة عن نشأة الأجناس النثرية.</w:t>
            </w:r>
          </w:p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الأجناس النثرية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الشفاهية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: الخطابة بأنواعها المختلفة. 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single" w:sz="8" w:space="0" w:color="C0504D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2489" w:rsidRPr="009F2489" w:rsidTr="009F2489">
        <w:tc>
          <w:tcPr>
            <w:tcW w:w="6452" w:type="dxa"/>
            <w:tcBorders>
              <w:top w:val="single" w:sz="4" w:space="0" w:color="943634" w:themeColor="accent2" w:themeShade="BF"/>
              <w:left w:val="single" w:sz="12" w:space="0" w:color="auto"/>
              <w:bottom w:val="nil"/>
              <w:right w:val="nil"/>
            </w:tcBorders>
            <w:shd w:val="clear" w:color="auto" w:fill="FFF3F3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الأمثال والوصايا والمفاخرات. 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92" w:type="dxa"/>
            <w:tcBorders>
              <w:top w:val="single" w:sz="4" w:space="0" w:color="943634" w:themeColor="accent2" w:themeShade="BF"/>
              <w:left w:val="nil"/>
              <w:bottom w:val="nil"/>
              <w:right w:val="single" w:sz="8" w:space="0" w:color="auto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2489" w:rsidRPr="009F2489" w:rsidTr="009F2489">
        <w:tc>
          <w:tcPr>
            <w:tcW w:w="6452" w:type="dxa"/>
            <w:tcBorders>
              <w:top w:val="single" w:sz="8" w:space="0" w:color="C0504D"/>
              <w:left w:val="single" w:sz="12" w:space="0" w:color="943634"/>
              <w:bottom w:val="single" w:sz="4" w:space="0" w:color="943634" w:themeColor="accent2" w:themeShade="BF"/>
              <w:right w:val="nil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الحكاية،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والمناظرة،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والأحاجي والألغاز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851" w:type="dxa"/>
            <w:tcBorders>
              <w:top w:val="single" w:sz="8" w:space="0" w:color="C0504D"/>
              <w:left w:val="nil"/>
              <w:bottom w:val="single" w:sz="4" w:space="0" w:color="943634" w:themeColor="accent2" w:themeShade="BF"/>
              <w:right w:val="nil"/>
            </w:tcBorders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tcBorders>
              <w:top w:val="single" w:sz="8" w:space="0" w:color="C0504D"/>
              <w:left w:val="nil"/>
              <w:bottom w:val="single" w:sz="4" w:space="0" w:color="943634" w:themeColor="accent2" w:themeShade="BF"/>
              <w:right w:val="single" w:sz="8" w:space="0" w:color="C0504D"/>
            </w:tcBorders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2489" w:rsidRPr="009F2489" w:rsidTr="009F2489">
        <w:tc>
          <w:tcPr>
            <w:tcW w:w="6452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nil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الأجناس النثرية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الكتابية: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الرسائل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الديوانية،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والرسائل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الإخوانية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single" w:sz="8" w:space="0" w:color="C0504D"/>
            </w:tcBorders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2489" w:rsidRPr="009F2489" w:rsidTr="009F2489">
        <w:tc>
          <w:tcPr>
            <w:tcW w:w="6452" w:type="dxa"/>
            <w:tcBorders>
              <w:top w:val="nil"/>
              <w:left w:val="single" w:sz="12" w:space="0" w:color="943634"/>
              <w:bottom w:val="single" w:sz="4" w:space="0" w:color="943634" w:themeColor="accent2" w:themeShade="BF"/>
              <w:right w:val="nil"/>
            </w:tcBorders>
            <w:shd w:val="clear" w:color="auto" w:fill="FFF3F3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الرسائل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الأدبية: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مثل: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رسالة (التربيع والتدوير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)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للجاحظ،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والرسالتان (الجدية والهزلية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)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لابن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زيدون،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ورسالة التوابع والزوابع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)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لابن شهيد.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43634" w:themeColor="accent2" w:themeShade="BF"/>
              <w:right w:val="single" w:sz="8" w:space="0" w:color="C0504D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2489" w:rsidRPr="009F2489" w:rsidTr="009F2489">
        <w:tc>
          <w:tcPr>
            <w:tcW w:w="6452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nil"/>
            </w:tcBorders>
            <w:shd w:val="clear" w:color="auto" w:fill="FFF3F3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الرسائل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الفلسفية: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مثل رسالة (حي بن يقظان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)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لابن سينا وابن طفيل. 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single" w:sz="8" w:space="0" w:color="C0504D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2489" w:rsidRPr="009F2489" w:rsidTr="009F2489">
        <w:tc>
          <w:tcPr>
            <w:tcW w:w="6452" w:type="dxa"/>
            <w:tcBorders>
              <w:top w:val="single" w:sz="4" w:space="0" w:color="943634" w:themeColor="accent2" w:themeShade="BF"/>
              <w:left w:val="single" w:sz="12" w:space="0" w:color="auto"/>
              <w:bottom w:val="nil"/>
              <w:right w:val="nil"/>
            </w:tcBorders>
            <w:shd w:val="clear" w:color="auto" w:fill="FFF3F3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الرحلات: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مثل رحلة ابن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فضلان،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ورحلة ابن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جبير،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ورحلة ابن بطوطة.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943634" w:themeColor="accent2" w:themeShade="BF"/>
              <w:left w:val="nil"/>
              <w:bottom w:val="nil"/>
              <w:right w:val="single" w:sz="8" w:space="0" w:color="auto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2489" w:rsidRPr="009F2489" w:rsidTr="009F2489">
        <w:trPr>
          <w:trHeight w:val="549"/>
        </w:trPr>
        <w:tc>
          <w:tcPr>
            <w:tcW w:w="6452" w:type="dxa"/>
            <w:tcBorders>
              <w:top w:val="single" w:sz="4" w:space="0" w:color="943634" w:themeColor="accent2" w:themeShade="BF"/>
              <w:left w:val="single" w:sz="12" w:space="0" w:color="943634"/>
              <w:bottom w:val="nil"/>
              <w:right w:val="nil"/>
            </w:tcBorders>
            <w:shd w:val="clear" w:color="auto" w:fill="FFF3F3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السيرة:</w:t>
            </w:r>
          </w:p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1-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السيرة الغيرية ونماذج منها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2-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السيرة الذاتية ونماذج منها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3-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السيرة الشعبية ونماذج منها. 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943634" w:themeColor="accent2" w:themeShade="BF"/>
              <w:left w:val="nil"/>
              <w:bottom w:val="nil"/>
              <w:right w:val="single" w:sz="8" w:space="0" w:color="C0504D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2489" w:rsidRPr="009F2489" w:rsidTr="009F2489">
        <w:trPr>
          <w:trHeight w:val="291"/>
        </w:trPr>
        <w:tc>
          <w:tcPr>
            <w:tcW w:w="6452" w:type="dxa"/>
            <w:tcBorders>
              <w:top w:val="single" w:sz="4" w:space="0" w:color="943634" w:themeColor="accent2" w:themeShade="BF"/>
              <w:left w:val="single" w:sz="12" w:space="0" w:color="943634"/>
              <w:bottom w:val="nil"/>
              <w:right w:val="nil"/>
            </w:tcBorders>
            <w:shd w:val="clear" w:color="auto" w:fill="FFF3F3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القصص على ألسنة الحيوانات:</w:t>
            </w:r>
          </w:p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مثل كليلة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ودمنة،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والنمر والثعلب لسهل بن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هارون،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وسلوان المطاع لابن ظفر الصقلي. 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943634" w:themeColor="accent2" w:themeShade="BF"/>
              <w:left w:val="nil"/>
              <w:bottom w:val="nil"/>
              <w:right w:val="single" w:sz="8" w:space="0" w:color="C0504D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2489" w:rsidRPr="009F2489" w:rsidTr="009F2489">
        <w:trPr>
          <w:trHeight w:val="423"/>
        </w:trPr>
        <w:tc>
          <w:tcPr>
            <w:tcW w:w="6452" w:type="dxa"/>
            <w:tcBorders>
              <w:top w:val="single" w:sz="4" w:space="0" w:color="943634" w:themeColor="accent2" w:themeShade="BF"/>
              <w:left w:val="single" w:sz="12" w:space="0" w:color="943634"/>
              <w:bottom w:val="nil"/>
              <w:right w:val="nil"/>
            </w:tcBorders>
            <w:shd w:val="clear" w:color="auto" w:fill="FFF3F3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المقامات: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نشأتها وتطورها وأعلامها ونماذج منها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أ-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مقامات بديع الزمان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الهمذاني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943634" w:themeColor="accent2" w:themeShade="BF"/>
              <w:left w:val="nil"/>
              <w:bottom w:val="nil"/>
              <w:right w:val="single" w:sz="8" w:space="0" w:color="C0504D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2489" w:rsidRPr="009F2489" w:rsidTr="009F2489">
        <w:trPr>
          <w:trHeight w:val="423"/>
        </w:trPr>
        <w:tc>
          <w:tcPr>
            <w:tcW w:w="6452" w:type="dxa"/>
            <w:tcBorders>
              <w:top w:val="single" w:sz="4" w:space="0" w:color="943634" w:themeColor="accent2" w:themeShade="BF"/>
              <w:left w:val="single" w:sz="12" w:space="0" w:color="943634"/>
              <w:bottom w:val="nil"/>
              <w:right w:val="nil"/>
            </w:tcBorders>
            <w:shd w:val="clear" w:color="auto" w:fill="FFF3F3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ب-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مقامات الحريري.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92" w:type="dxa"/>
            <w:tcBorders>
              <w:top w:val="single" w:sz="4" w:space="0" w:color="943634" w:themeColor="accent2" w:themeShade="BF"/>
              <w:left w:val="nil"/>
              <w:bottom w:val="nil"/>
              <w:right w:val="single" w:sz="8" w:space="0" w:color="C0504D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2489" w:rsidRPr="009F2489" w:rsidTr="009F2489">
        <w:trPr>
          <w:trHeight w:val="423"/>
        </w:trPr>
        <w:tc>
          <w:tcPr>
            <w:tcW w:w="6452" w:type="dxa"/>
            <w:tcBorders>
              <w:top w:val="single" w:sz="4" w:space="0" w:color="943634" w:themeColor="accent2" w:themeShade="BF"/>
              <w:left w:val="single" w:sz="12" w:space="0" w:color="943634"/>
              <w:bottom w:val="nil"/>
              <w:right w:val="nil"/>
            </w:tcBorders>
            <w:shd w:val="clear" w:color="auto" w:fill="FFF3F3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أبرز كتاب الفنون النثرية: </w:t>
            </w:r>
          </w:p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أ-عبد الله بن المقفع في النثر الفني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والحكائي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.</w:t>
            </w:r>
          </w:p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lastRenderedPageBreak/>
              <w:t xml:space="preserve">ب-أبو إسحاق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الصابي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في كتابة الرسائل الديوانية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والإخوانية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943634" w:themeColor="accent2" w:themeShade="BF"/>
              <w:left w:val="nil"/>
              <w:bottom w:val="nil"/>
              <w:right w:val="single" w:sz="8" w:space="0" w:color="C0504D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2489" w:rsidRPr="009F2489" w:rsidTr="009F2489">
        <w:trPr>
          <w:trHeight w:val="423"/>
        </w:trPr>
        <w:tc>
          <w:tcPr>
            <w:tcW w:w="6452" w:type="dxa"/>
            <w:tcBorders>
              <w:top w:val="single" w:sz="4" w:space="0" w:color="943634" w:themeColor="accent2" w:themeShade="BF"/>
              <w:left w:val="single" w:sz="12" w:space="0" w:color="943634"/>
              <w:bottom w:val="nil"/>
              <w:right w:val="nil"/>
            </w:tcBorders>
            <w:shd w:val="clear" w:color="auto" w:fill="FFF3F3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lastRenderedPageBreak/>
              <w:t>ج-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أبو عثمان الجاحظ في فنون متنوعة من النثر.</w:t>
            </w:r>
          </w:p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د-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أبو حيان التوحيدي في فنون متنوعة من النثر.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92" w:type="dxa"/>
            <w:tcBorders>
              <w:top w:val="single" w:sz="4" w:space="0" w:color="943634" w:themeColor="accent2" w:themeShade="BF"/>
              <w:left w:val="nil"/>
              <w:bottom w:val="nil"/>
              <w:right w:val="single" w:sz="8" w:space="0" w:color="C0504D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2489" w:rsidRPr="009F2489" w:rsidTr="009F2489">
        <w:trPr>
          <w:trHeight w:val="423"/>
        </w:trPr>
        <w:tc>
          <w:tcPr>
            <w:tcW w:w="6452" w:type="dxa"/>
            <w:tcBorders>
              <w:top w:val="single" w:sz="4" w:space="0" w:color="943634" w:themeColor="accent2" w:themeShade="BF"/>
              <w:left w:val="single" w:sz="12" w:space="0" w:color="943634"/>
              <w:bottom w:val="nil"/>
              <w:right w:val="nil"/>
            </w:tcBorders>
            <w:shd w:val="clear" w:color="auto" w:fill="FFF3F3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هـ-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بديع الزمان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الهمذاني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في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المقامة،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والمناظرة،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والرسالة.</w:t>
            </w:r>
          </w:p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و-</w:t>
            </w:r>
            <w:proofErr w:type="spellEnd"/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 xml:space="preserve"> ابن بطوطة في الرحلة.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92" w:type="dxa"/>
            <w:tcBorders>
              <w:top w:val="single" w:sz="4" w:space="0" w:color="943634" w:themeColor="accent2" w:themeShade="BF"/>
              <w:left w:val="nil"/>
              <w:bottom w:val="nil"/>
              <w:right w:val="single" w:sz="8" w:space="0" w:color="C0504D"/>
            </w:tcBorders>
            <w:shd w:val="clear" w:color="auto" w:fill="FFF3F3"/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2489" w:rsidRPr="009F2489" w:rsidTr="009F2489">
        <w:tc>
          <w:tcPr>
            <w:tcW w:w="645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SC_DUBAI" w:eastAsia="Times New Roman" w:hAnsi="SC_DUBAI" w:cs="Times New Roman"/>
                <w:b/>
                <w:bCs/>
                <w:szCs w:val="26"/>
                <w:rtl/>
              </w:rPr>
              <w:t xml:space="preserve">عدد الأسابيع ومجموع ساعات الاتصال في الفصل الدراسي 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14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489" w:rsidRPr="009F2489" w:rsidRDefault="009F2489" w:rsidP="009F2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48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30</w:t>
            </w:r>
          </w:p>
        </w:tc>
      </w:tr>
    </w:tbl>
    <w:p w:rsidR="009F2489" w:rsidRPr="009F2489" w:rsidRDefault="009F2489" w:rsidP="009F2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F2489">
        <w:rPr>
          <w:rFonts w:ascii="Arial" w:eastAsia="Times New Roman" w:hAnsi="Arial" w:cs="Arial"/>
          <w:sz w:val="28"/>
          <w:szCs w:val="28"/>
          <w:rtl/>
        </w:rPr>
        <w:t> </w:t>
      </w:r>
    </w:p>
    <w:p w:rsidR="009F2489" w:rsidRPr="009F2489" w:rsidRDefault="009F2489" w:rsidP="009F2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F2489">
        <w:rPr>
          <w:rFonts w:ascii="Arial" w:eastAsia="Times New Roman" w:hAnsi="Arial" w:cs="Arial"/>
          <w:sz w:val="28"/>
          <w:szCs w:val="28"/>
          <w:rtl/>
        </w:rPr>
        <w:t> </w:t>
      </w:r>
    </w:p>
    <w:p w:rsidR="00E93FE6" w:rsidRDefault="00E93FE6" w:rsidP="009F2489">
      <w:pPr>
        <w:rPr>
          <w:rFonts w:hint="cs"/>
        </w:rPr>
      </w:pPr>
    </w:p>
    <w:sectPr w:rsidR="00E93FE6" w:rsidSect="003F0C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sham Cortob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_DUBA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F2489"/>
    <w:rsid w:val="003F0CB4"/>
    <w:rsid w:val="009F2489"/>
    <w:rsid w:val="00E9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4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Char"/>
    <w:uiPriority w:val="99"/>
    <w:unhideWhenUsed/>
    <w:rsid w:val="009F24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نص أساسي Char"/>
    <w:basedOn w:val="a0"/>
    <w:link w:val="a4"/>
    <w:uiPriority w:val="99"/>
    <w:rsid w:val="009F248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F2489"/>
    <w:rPr>
      <w:b/>
      <w:bCs/>
    </w:rPr>
  </w:style>
  <w:style w:type="paragraph" w:styleId="a6">
    <w:name w:val="List Paragraph"/>
    <w:basedOn w:val="a"/>
    <w:uiPriority w:val="34"/>
    <w:qFormat/>
    <w:rsid w:val="009F24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2016-02-02T16:01:00Z</dcterms:created>
  <dcterms:modified xsi:type="dcterms:W3CDTF">2016-02-02T16:03:00Z</dcterms:modified>
</cp:coreProperties>
</file>