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36" w:rsidRDefault="00136C2E" w:rsidP="00573C36">
      <w:pPr>
        <w:bidi w:val="0"/>
        <w:spacing w:before="100" w:beforeAutospacing="1" w:after="100" w:afterAutospacing="1"/>
        <w:rPr>
          <w:rFonts w:ascii="Tahoma" w:hAnsi="Tahoma" w:cs="Tahoma"/>
          <w:b/>
          <w:bCs/>
          <w:color w:val="000000"/>
          <w:sz w:val="20"/>
          <w:szCs w:val="20"/>
        </w:rPr>
      </w:pPr>
      <w:r>
        <w:rPr>
          <w:rFonts w:ascii="Tahoma" w:hAnsi="Tahoma" w:cs="Tahoma"/>
          <w:b/>
          <w:bCs/>
          <w:color w:val="000000"/>
          <w:sz w:val="20"/>
          <w:szCs w:val="20"/>
        </w:rPr>
        <w:t>Publications:</w:t>
      </w:r>
      <w:bookmarkStart w:id="0" w:name="_GoBack"/>
      <w:bookmarkEnd w:id="0"/>
    </w:p>
    <w:p w:rsidR="00573C36" w:rsidRPr="00573C36" w:rsidRDefault="00573C36" w:rsidP="00573C36">
      <w:pPr>
        <w:bidi w:val="0"/>
        <w:rPr>
          <w:sz w:val="20"/>
          <w:szCs w:val="20"/>
          <w:lang w:eastAsia="ar-SA"/>
        </w:rPr>
      </w:pPr>
    </w:p>
    <w:p w:rsidR="00573C36" w:rsidRPr="00573C36" w:rsidRDefault="00573C36" w:rsidP="00573C36">
      <w:pPr>
        <w:widowControl w:val="0"/>
        <w:numPr>
          <w:ilvl w:val="0"/>
          <w:numId w:val="3"/>
        </w:numPr>
        <w:autoSpaceDE w:val="0"/>
        <w:autoSpaceDN w:val="0"/>
        <w:bidi w:val="0"/>
        <w:adjustRightInd w:val="0"/>
        <w:spacing w:before="100" w:beforeAutospacing="1" w:after="100" w:afterAutospacing="1" w:line="240" w:lineRule="atLeast"/>
        <w:contextualSpacing/>
        <w:jc w:val="both"/>
        <w:rPr>
          <w:rFonts w:asciiTheme="majorBidi" w:hAnsiTheme="majorBidi" w:cstheme="majorBidi"/>
          <w:sz w:val="20"/>
        </w:rPr>
      </w:pPr>
      <w:r w:rsidRPr="00573C36">
        <w:rPr>
          <w:rFonts w:asciiTheme="majorBidi" w:hAnsiTheme="majorBidi" w:cstheme="majorBidi"/>
          <w:sz w:val="20"/>
        </w:rPr>
        <w:t>Mahmoud M. El-Sherbiny, and Rashid M. Alhamali " A hybrid particle swarm algorithm with artificial immune learning for solving the fixed charge transportation problem", Computers &amp; Industrial Engineering 64 (2013) 610–620.</w:t>
      </w:r>
    </w:p>
    <w:p w:rsidR="00573C36" w:rsidRPr="00573C36" w:rsidRDefault="00573C36" w:rsidP="00573C36">
      <w:pPr>
        <w:widowControl w:val="0"/>
        <w:autoSpaceDE w:val="0"/>
        <w:autoSpaceDN w:val="0"/>
        <w:bidi w:val="0"/>
        <w:adjustRightInd w:val="0"/>
        <w:spacing w:before="100" w:beforeAutospacing="1" w:after="100" w:afterAutospacing="1" w:line="240" w:lineRule="atLeast"/>
        <w:ind w:left="405"/>
        <w:contextualSpacing/>
        <w:jc w:val="both"/>
        <w:rPr>
          <w:rFonts w:asciiTheme="majorBidi" w:hAnsiTheme="majorBidi" w:cstheme="majorBidi"/>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sz w:val="20"/>
        </w:rPr>
        <w:t>M.A. El-Kady, A.M. Al-Ahmari, R.M. Alhamali, A.A. Al-Karni, B.A. Al-Omar, S.S. AlQahtani, and M.A. Alshehri "</w:t>
      </w:r>
      <w:r w:rsidRPr="00573C36">
        <w:rPr>
          <w:rFonts w:asciiTheme="majorBidi" w:hAnsiTheme="majorBidi" w:cstheme="majorBidi"/>
          <w:b/>
          <w:bCs/>
          <w:sz w:val="20"/>
        </w:rPr>
        <w:t xml:space="preserve">An Integrated Approach to Research and Academic Quality Management in Engineering Education", </w:t>
      </w:r>
      <w:r w:rsidRPr="00573C36">
        <w:rPr>
          <w:rFonts w:asciiTheme="majorBidi" w:hAnsiTheme="majorBidi" w:cstheme="majorBidi"/>
          <w:b/>
          <w:bCs/>
          <w:i/>
          <w:iCs/>
          <w:sz w:val="20"/>
        </w:rPr>
        <w:t>The Online Journal on Electronics and Electrical Engineering (OJEEE), Vol. (1) – No. (2)</w:t>
      </w:r>
      <w:r w:rsidRPr="00573C36">
        <w:rPr>
          <w:rFonts w:asciiTheme="majorBidi" w:hAnsiTheme="majorBidi" w:cstheme="majorBidi"/>
          <w:sz w:val="20"/>
        </w:rPr>
        <w:t>.</w:t>
      </w:r>
    </w:p>
    <w:p w:rsidR="00573C36" w:rsidRPr="00573C36" w:rsidRDefault="00573C36" w:rsidP="00573C36">
      <w:pPr>
        <w:widowControl w:val="0"/>
        <w:ind w:left="720"/>
        <w:contextualSpacing/>
        <w:rPr>
          <w:rFonts w:asciiTheme="majorBidi" w:hAnsiTheme="majorBidi" w:cstheme="majorBidi"/>
          <w:sz w:val="20"/>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sz w:val="20"/>
        </w:rPr>
        <w:t xml:space="preserve">Sulieman Ibraheem Shelash Al-Hawary, Rashid M. Alhamali, and Saad Abdullah Alghanim "Banking Service Quality Provided by Commercial Banks and Customer Satisfaction", American Journal of Scientific Research, ISSN 1450-223X Issue 27(2011), pp. 68-83. </w:t>
      </w:r>
    </w:p>
    <w:p w:rsidR="00573C36" w:rsidRPr="00573C36" w:rsidRDefault="00573C36" w:rsidP="00573C36">
      <w:pPr>
        <w:widowControl w:val="0"/>
        <w:ind w:left="720"/>
        <w:contextualSpacing/>
        <w:rPr>
          <w:rFonts w:asciiTheme="majorBidi" w:hAnsiTheme="majorBidi" w:cstheme="majorBidi"/>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eastAsia="Arial-BoldMT" w:hAnsiTheme="majorBidi" w:cstheme="majorBidi"/>
          <w:color w:val="1B1C20"/>
          <w:sz w:val="20"/>
        </w:rPr>
        <w:t>Norzaidi Mohd Daud</w:t>
      </w:r>
      <w:r w:rsidRPr="00573C36">
        <w:rPr>
          <w:rFonts w:asciiTheme="majorBidi" w:hAnsiTheme="majorBidi" w:cstheme="majorBidi"/>
          <w:sz w:val="20"/>
        </w:rPr>
        <w:t xml:space="preserve">, </w:t>
      </w:r>
      <w:r w:rsidRPr="00573C36">
        <w:rPr>
          <w:rFonts w:asciiTheme="majorBidi" w:eastAsia="Arial-BoldMT" w:hAnsiTheme="majorBidi" w:cstheme="majorBidi"/>
          <w:color w:val="1B1C20"/>
          <w:sz w:val="20"/>
        </w:rPr>
        <w:t>Intan Salwani Mohamed, Saad Alghanim, and Rashid Alhamali "</w:t>
      </w:r>
      <w:r w:rsidRPr="00573C36">
        <w:rPr>
          <w:rFonts w:asciiTheme="majorBidi" w:eastAsia="TimesNewRomanPS-BoldMT" w:hAnsiTheme="majorBidi" w:cstheme="majorBidi"/>
          <w:color w:val="1B1C20"/>
          <w:sz w:val="20"/>
        </w:rPr>
        <w:t>Investigating the impact of intranet resistance and intranet withdrawal in Malaysian maritime industry</w:t>
      </w:r>
      <w:r w:rsidRPr="00573C36">
        <w:rPr>
          <w:rFonts w:asciiTheme="majorBidi" w:hAnsiTheme="majorBidi" w:cstheme="majorBidi"/>
          <w:sz w:val="20"/>
        </w:rPr>
        <w:t xml:space="preserve">", </w:t>
      </w:r>
      <w:r w:rsidRPr="00573C36">
        <w:rPr>
          <w:rFonts w:asciiTheme="majorBidi" w:eastAsia="TimesNewRomanPS-BoldMT" w:hAnsiTheme="majorBidi" w:cstheme="majorBidi"/>
          <w:color w:val="1B1C20"/>
          <w:sz w:val="20"/>
        </w:rPr>
        <w:t xml:space="preserve">POLISH MARITIME RESEARCH </w:t>
      </w:r>
      <w:r w:rsidRPr="00573C36">
        <w:rPr>
          <w:rFonts w:asciiTheme="majorBidi" w:eastAsia="TimesNewRomanPSMT" w:hAnsiTheme="majorBidi" w:cstheme="majorBidi"/>
          <w:color w:val="1B1C20"/>
          <w:sz w:val="20"/>
        </w:rPr>
        <w:t>1(81) 2014 Vol 21; pp. 89-95.</w:t>
      </w:r>
    </w:p>
    <w:p w:rsidR="00573C36" w:rsidRPr="00573C36" w:rsidRDefault="00573C36" w:rsidP="00573C36">
      <w:pPr>
        <w:bidi w:val="0"/>
        <w:jc w:val="right"/>
        <w:rPr>
          <w:sz w:val="20"/>
          <w:szCs w:val="20"/>
          <w:lang w:eastAsia="ar-SA"/>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sz w:val="20"/>
        </w:rPr>
        <w:t xml:space="preserve">Bokkasam Sasidhar, Jaba Mukherjee Gupta, Saad Alghanim3, and Rashid M. Al-Hamali "Organizational Conflicts in India and Saudi Arabia", </w:t>
      </w:r>
      <w:r w:rsidRPr="00573C36">
        <w:rPr>
          <w:rFonts w:asciiTheme="majorBidi" w:hAnsiTheme="majorBidi" w:cstheme="majorBidi"/>
          <w:i/>
          <w:iCs/>
          <w:sz w:val="20"/>
        </w:rPr>
        <w:t>International Conference on Innovation and Information Management (ICIIM 2012), IPCSIT vol. 36 (2012) © (2012) IACSIT Press, Singapore.</w:t>
      </w:r>
    </w:p>
    <w:p w:rsidR="00573C36" w:rsidRPr="00573C36" w:rsidRDefault="00573C36" w:rsidP="00573C36">
      <w:pPr>
        <w:widowControl w:val="0"/>
        <w:ind w:left="720"/>
        <w:contextualSpacing/>
        <w:rPr>
          <w:rFonts w:asciiTheme="majorBidi" w:hAnsiTheme="majorBidi" w:cstheme="majorBidi"/>
          <w:sz w:val="20"/>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i/>
          <w:iCs/>
          <w:sz w:val="20"/>
        </w:rPr>
        <w:t>Saad A. Alghanim</w:t>
      </w:r>
      <w:r w:rsidRPr="00573C36">
        <w:rPr>
          <w:rFonts w:asciiTheme="majorBidi" w:hAnsiTheme="majorBidi" w:cstheme="majorBidi"/>
          <w:sz w:val="20"/>
        </w:rPr>
        <w:t xml:space="preserve">, and </w:t>
      </w:r>
      <w:r w:rsidRPr="00573C36">
        <w:rPr>
          <w:rFonts w:asciiTheme="majorBidi" w:hAnsiTheme="majorBidi" w:cstheme="majorBidi"/>
          <w:i/>
          <w:iCs/>
          <w:sz w:val="20"/>
        </w:rPr>
        <w:t>Rashid M. Alhamali "</w:t>
      </w:r>
      <w:r w:rsidRPr="00573C36">
        <w:rPr>
          <w:rFonts w:asciiTheme="majorBidi" w:hAnsiTheme="majorBidi" w:cstheme="majorBidi"/>
          <w:sz w:val="20"/>
        </w:rPr>
        <w:t xml:space="preserve">Research productivity among faculty members at medical and health schools in Saudi Arabia", </w:t>
      </w:r>
      <w:r w:rsidRPr="00573C36">
        <w:rPr>
          <w:rFonts w:asciiTheme="majorBidi" w:eastAsia="AGaramondPro-Regular" w:hAnsiTheme="majorBidi" w:cstheme="majorBidi"/>
          <w:sz w:val="20"/>
        </w:rPr>
        <w:t>Saudi Med J 2011; Vol. 32 (12).</w:t>
      </w:r>
    </w:p>
    <w:p w:rsidR="00573C36" w:rsidRPr="00573C36" w:rsidRDefault="00573C36" w:rsidP="00573C36">
      <w:pPr>
        <w:widowControl w:val="0"/>
        <w:ind w:left="720"/>
        <w:contextualSpacing/>
        <w:rPr>
          <w:rFonts w:asciiTheme="majorBidi" w:hAnsiTheme="majorBidi" w:cstheme="majorBidi"/>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sz w:val="20"/>
        </w:rPr>
        <w:t xml:space="preserve">Norzaidi Mohd Daud, Intan Salwani Mohamed, Saad Alghanim and Rashid Alhamali "Revisiting Information System Models in the Context of Technology Usage and Technology Resistance",Australian Journal of Basic and Applied Sciences, 5(12): 2424-2430, 2011, ISSN 1991-8178. </w:t>
      </w:r>
    </w:p>
    <w:p w:rsidR="00573C36" w:rsidRPr="00573C36" w:rsidRDefault="00573C36" w:rsidP="00573C36">
      <w:pPr>
        <w:widowControl w:val="0"/>
        <w:ind w:left="720"/>
        <w:contextualSpacing/>
        <w:rPr>
          <w:rFonts w:asciiTheme="majorBidi" w:hAnsiTheme="majorBidi" w:cstheme="majorBidi"/>
        </w:rPr>
      </w:pPr>
    </w:p>
    <w:p w:rsidR="00573C36" w:rsidRPr="00573C36" w:rsidRDefault="00573C36" w:rsidP="00573C36">
      <w:pPr>
        <w:autoSpaceDE w:val="0"/>
        <w:autoSpaceDN w:val="0"/>
        <w:bidi w:val="0"/>
        <w:adjustRightInd w:val="0"/>
        <w:rPr>
          <w:color w:val="000000"/>
        </w:rPr>
      </w:pPr>
    </w:p>
    <w:p w:rsidR="00573C36" w:rsidRPr="00573C36" w:rsidRDefault="00573C36" w:rsidP="00573C36">
      <w:pPr>
        <w:numPr>
          <w:ilvl w:val="0"/>
          <w:numId w:val="3"/>
        </w:numPr>
        <w:autoSpaceDE w:val="0"/>
        <w:autoSpaceDN w:val="0"/>
        <w:bidi w:val="0"/>
        <w:adjustRightInd w:val="0"/>
        <w:jc w:val="both"/>
        <w:rPr>
          <w:rFonts w:asciiTheme="majorBidi" w:hAnsiTheme="majorBidi" w:cstheme="majorBidi"/>
          <w:color w:val="000000"/>
        </w:rPr>
      </w:pPr>
      <w:r w:rsidRPr="00573C36">
        <w:rPr>
          <w:rFonts w:asciiTheme="majorBidi" w:hAnsiTheme="majorBidi" w:cstheme="majorBidi"/>
          <w:color w:val="000000"/>
        </w:rPr>
        <w:t>Rashid M. Al-Hamali, Saad Alghanim and Bokkasam Sasidhar "Role Conflict among Health Personnel – A Study of Saudi Hospitals", Interdisciplinary Journal of Research in Business, Vol. 2, Issue. 8, 2013,  (pp.42- 51), ISSN: 2046-7141.</w:t>
      </w: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numPr>
          <w:ilvl w:val="0"/>
          <w:numId w:val="3"/>
        </w:numPr>
        <w:autoSpaceDE w:val="0"/>
        <w:autoSpaceDN w:val="0"/>
        <w:bidi w:val="0"/>
        <w:adjustRightInd w:val="0"/>
        <w:jc w:val="both"/>
        <w:rPr>
          <w:rFonts w:asciiTheme="majorBidi" w:hAnsiTheme="majorBidi" w:cstheme="majorBidi"/>
          <w:color w:val="000000"/>
        </w:rPr>
      </w:pPr>
      <w:r w:rsidRPr="00573C36">
        <w:rPr>
          <w:rFonts w:asciiTheme="majorBidi" w:hAnsiTheme="majorBidi" w:cstheme="majorBidi"/>
          <w:color w:val="000000"/>
        </w:rPr>
        <w:t>Rashid M. Alhamali " THE IMPACT OF MARKET ORIENTATION ON CUSTOMER SATISFACTION OF CELLULAR COMMUNICATION COMPANIES IN SAUDI ARABIA",  International Journal of Management Research Vol. 4, Issue 12, December 2016.</w:t>
      </w: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numPr>
          <w:ilvl w:val="0"/>
          <w:numId w:val="3"/>
        </w:numPr>
        <w:autoSpaceDE w:val="0"/>
        <w:autoSpaceDN w:val="0"/>
        <w:bidi w:val="0"/>
        <w:adjustRightInd w:val="0"/>
        <w:jc w:val="both"/>
        <w:rPr>
          <w:rFonts w:asciiTheme="majorBidi" w:hAnsiTheme="majorBidi" w:cstheme="majorBidi"/>
          <w:color w:val="000000"/>
        </w:rPr>
      </w:pPr>
      <w:r w:rsidRPr="00573C36">
        <w:rPr>
          <w:rFonts w:asciiTheme="majorBidi" w:hAnsiTheme="majorBidi" w:cstheme="majorBidi"/>
          <w:color w:val="000000"/>
        </w:rPr>
        <w:t>Norzaidi Mohd Daud, Intan Salwani Mohamed and Rashid Alhamali " The success of intranet usage on managerial performance: The effect of task and technology antecedents on usage", African Journal of Business Management Vol.6 (44), pp. 10938-10944, 7 November 2012, AJBM, ISSN 1993-8233</w:t>
      </w:r>
      <w:r w:rsidRPr="00573C36">
        <w:rPr>
          <w:color w:val="000000"/>
          <w:sz w:val="18"/>
          <w:szCs w:val="18"/>
        </w:rPr>
        <w:t xml:space="preserve">. </w:t>
      </w: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numPr>
          <w:ilvl w:val="0"/>
          <w:numId w:val="3"/>
        </w:numPr>
        <w:autoSpaceDE w:val="0"/>
        <w:autoSpaceDN w:val="0"/>
        <w:bidi w:val="0"/>
        <w:adjustRightInd w:val="0"/>
        <w:jc w:val="both"/>
        <w:rPr>
          <w:rFonts w:asciiTheme="majorBidi" w:hAnsiTheme="majorBidi" w:cstheme="majorBidi"/>
          <w:color w:val="000000"/>
        </w:rPr>
      </w:pPr>
      <w:r w:rsidRPr="00573C36">
        <w:rPr>
          <w:rFonts w:asciiTheme="majorBidi" w:hAnsiTheme="majorBidi" w:cstheme="majorBidi"/>
          <w:color w:val="000000"/>
        </w:rPr>
        <w:lastRenderedPageBreak/>
        <w:t>Rashid M. Alhamali "</w:t>
      </w:r>
      <w:r w:rsidRPr="00573C36">
        <w:rPr>
          <w:bCs/>
          <w:color w:val="000000" w:themeColor="text1"/>
          <w:spacing w:val="-4"/>
          <w:sz w:val="32"/>
          <w:szCs w:val="32"/>
        </w:rPr>
        <w:t xml:space="preserve"> </w:t>
      </w:r>
      <w:r w:rsidRPr="00573C36">
        <w:rPr>
          <w:rFonts w:asciiTheme="majorBidi" w:hAnsiTheme="majorBidi" w:cstheme="majorBidi"/>
          <w:bCs/>
          <w:color w:val="000000"/>
        </w:rPr>
        <w:t xml:space="preserve">Success Factors and Benefits of Six Sigma Implementation              in Hospitals: A Systematic Review", </w:t>
      </w:r>
      <w:r w:rsidRPr="00573C36">
        <w:rPr>
          <w:color w:val="000000"/>
        </w:rPr>
        <w:t>Business and Management Studies, Vol. 5, No. 3; September 2019.</w:t>
      </w: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sz w:val="20"/>
        </w:rPr>
        <w:t>Rashid M. Alhamali " Impact of Conflict Management Styles on Team Performance on Supervisors of Teams in Universities", Global Journal of Management and Business Research: A Administration and Management, Volume 19, Issue 3, Version 1.0, Year 2019.</w:t>
      </w:r>
    </w:p>
    <w:p w:rsidR="00573C36" w:rsidRPr="00573C36" w:rsidRDefault="00573C36" w:rsidP="00573C36">
      <w:pPr>
        <w:widowControl w:val="0"/>
        <w:ind w:left="720"/>
        <w:contextualSpacing/>
        <w:rPr>
          <w:rFonts w:asciiTheme="majorBidi" w:hAnsiTheme="majorBidi" w:cstheme="majorBidi"/>
          <w:sz w:val="20"/>
        </w:rPr>
      </w:pPr>
    </w:p>
    <w:p w:rsidR="00573C36" w:rsidRPr="00573C36" w:rsidRDefault="00573C36" w:rsidP="00573C36">
      <w:pPr>
        <w:widowControl w:val="0"/>
        <w:numPr>
          <w:ilvl w:val="0"/>
          <w:numId w:val="3"/>
        </w:numPr>
        <w:autoSpaceDE w:val="0"/>
        <w:autoSpaceDN w:val="0"/>
        <w:bidi w:val="0"/>
        <w:adjustRightInd w:val="0"/>
        <w:contextualSpacing/>
        <w:jc w:val="both"/>
        <w:rPr>
          <w:rFonts w:asciiTheme="majorBidi" w:hAnsiTheme="majorBidi" w:cstheme="majorBidi"/>
          <w:sz w:val="20"/>
        </w:rPr>
      </w:pPr>
      <w:r w:rsidRPr="00573C36">
        <w:rPr>
          <w:rFonts w:asciiTheme="majorBidi" w:hAnsiTheme="majorBidi" w:cstheme="majorBidi"/>
          <w:sz w:val="20"/>
        </w:rPr>
        <w:t>Rashid M. Alhamali " Critical success factors for green supply chain management practices: An empirical study on data collected from food processing companies in Saudi Arabia", African Journal of Business Management, Vol. 13(5), pp. 160-167, 14 March, 2019.</w:t>
      </w:r>
    </w:p>
    <w:p w:rsidR="00573C36" w:rsidRPr="00573C36" w:rsidRDefault="00573C36" w:rsidP="00573C36">
      <w:pPr>
        <w:autoSpaceDE w:val="0"/>
        <w:autoSpaceDN w:val="0"/>
        <w:bidi w:val="0"/>
        <w:adjustRightInd w:val="0"/>
        <w:jc w:val="both"/>
        <w:rPr>
          <w:rFonts w:asciiTheme="majorBidi" w:hAnsiTheme="majorBidi" w:cstheme="majorBidi"/>
          <w:color w:val="000000"/>
        </w:rPr>
      </w:pPr>
    </w:p>
    <w:p w:rsidR="007A4896" w:rsidRDefault="00204A29" w:rsidP="00573C36">
      <w:pPr>
        <w:bidi w:val="0"/>
        <w:spacing w:before="100" w:beforeAutospacing="1" w:after="100" w:afterAutospacing="1"/>
      </w:pPr>
      <w:r>
        <w:rPr>
          <w:rFonts w:ascii="Tahoma" w:hAnsi="Tahoma" w:cs="Tahoma"/>
          <w:b/>
          <w:bCs/>
          <w:color w:val="000000"/>
          <w:sz w:val="20"/>
          <w:szCs w:val="20"/>
        </w:rPr>
        <w:t xml:space="preserve"> </w:t>
      </w:r>
      <w:r w:rsidR="007A4896" w:rsidRPr="007A4896">
        <w:rPr>
          <w:rFonts w:ascii="Tahoma" w:hAnsi="Tahoma" w:cs="Tahoma"/>
          <w:b/>
          <w:bCs/>
          <w:color w:val="000000"/>
          <w:sz w:val="20"/>
          <w:szCs w:val="20"/>
        </w:rPr>
        <w:t xml:space="preserve">  </w:t>
      </w:r>
    </w:p>
    <w:sectPr w:rsidR="007A4896" w:rsidSect="00576A54">
      <w:footerReference w:type="even"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CC" w:rsidRDefault="001450CC">
      <w:r>
        <w:separator/>
      </w:r>
    </w:p>
  </w:endnote>
  <w:endnote w:type="continuationSeparator" w:id="0">
    <w:p w:rsidR="001450CC" w:rsidRDefault="0014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96" w:rsidRDefault="00D71045" w:rsidP="007A4896">
    <w:pPr>
      <w:pStyle w:val="Footer"/>
      <w:framePr w:wrap="around" w:vAnchor="text" w:hAnchor="text" w:y="1"/>
      <w:rPr>
        <w:rStyle w:val="PageNumber"/>
      </w:rPr>
    </w:pPr>
    <w:r>
      <w:rPr>
        <w:rStyle w:val="PageNumber"/>
        <w:rtl/>
      </w:rPr>
      <w:fldChar w:fldCharType="begin"/>
    </w:r>
    <w:r w:rsidR="007A4896">
      <w:rPr>
        <w:rStyle w:val="PageNumber"/>
      </w:rPr>
      <w:instrText xml:space="preserve">PAGE  </w:instrText>
    </w:r>
    <w:r>
      <w:rPr>
        <w:rStyle w:val="PageNumber"/>
        <w:rtl/>
      </w:rPr>
      <w:fldChar w:fldCharType="end"/>
    </w:r>
  </w:p>
  <w:p w:rsidR="007A4896" w:rsidRDefault="007A4896" w:rsidP="007A48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96" w:rsidRDefault="00D71045" w:rsidP="007A4896">
    <w:pPr>
      <w:pStyle w:val="Footer"/>
      <w:framePr w:wrap="around" w:vAnchor="text" w:hAnchor="text" w:y="1"/>
      <w:rPr>
        <w:rStyle w:val="PageNumber"/>
      </w:rPr>
    </w:pPr>
    <w:r>
      <w:rPr>
        <w:rStyle w:val="PageNumber"/>
        <w:rtl/>
      </w:rPr>
      <w:fldChar w:fldCharType="begin"/>
    </w:r>
    <w:r w:rsidR="007A4896">
      <w:rPr>
        <w:rStyle w:val="PageNumber"/>
      </w:rPr>
      <w:instrText xml:space="preserve">PAGE  </w:instrText>
    </w:r>
    <w:r>
      <w:rPr>
        <w:rStyle w:val="PageNumber"/>
        <w:rtl/>
      </w:rPr>
      <w:fldChar w:fldCharType="separate"/>
    </w:r>
    <w:r w:rsidR="00136C2E">
      <w:rPr>
        <w:rStyle w:val="PageNumber"/>
        <w:noProof/>
        <w:rtl/>
      </w:rPr>
      <w:t>2</w:t>
    </w:r>
    <w:r>
      <w:rPr>
        <w:rStyle w:val="PageNumber"/>
        <w:rtl/>
      </w:rPr>
      <w:fldChar w:fldCharType="end"/>
    </w:r>
  </w:p>
  <w:p w:rsidR="007A4896" w:rsidRDefault="007A4896" w:rsidP="007A48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CC" w:rsidRDefault="001450CC">
      <w:r>
        <w:separator/>
      </w:r>
    </w:p>
  </w:footnote>
  <w:footnote w:type="continuationSeparator" w:id="0">
    <w:p w:rsidR="001450CC" w:rsidRDefault="0014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0BFD"/>
    <w:multiLevelType w:val="hybridMultilevel"/>
    <w:tmpl w:val="3468F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31457"/>
    <w:multiLevelType w:val="hybridMultilevel"/>
    <w:tmpl w:val="098C9BF6"/>
    <w:lvl w:ilvl="0" w:tplc="0401000D">
      <w:start w:val="1"/>
      <w:numFmt w:val="bullet"/>
      <w:lvlText w:val=""/>
      <w:lvlJc w:val="left"/>
      <w:pPr>
        <w:tabs>
          <w:tab w:val="num" w:pos="720"/>
        </w:tabs>
        <w:ind w:left="720" w:right="720" w:hanging="360"/>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40C805E3"/>
    <w:multiLevelType w:val="multilevel"/>
    <w:tmpl w:val="26E2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91A3E"/>
    <w:multiLevelType w:val="hybridMultilevel"/>
    <w:tmpl w:val="03D2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3589F"/>
    <w:multiLevelType w:val="hybridMultilevel"/>
    <w:tmpl w:val="DF647ACC"/>
    <w:lvl w:ilvl="0" w:tplc="04010001">
      <w:start w:val="14"/>
      <w:numFmt w:val="bullet"/>
      <w:lvlText w:val=""/>
      <w:lvlJc w:val="left"/>
      <w:pPr>
        <w:tabs>
          <w:tab w:val="num" w:pos="360"/>
        </w:tabs>
        <w:ind w:left="360" w:right="720" w:hanging="360"/>
      </w:pPr>
      <w:rPr>
        <w:rFonts w:ascii="Symbol" w:eastAsia="Times New Roman" w:hAnsi="Symbol" w:cs="Times New Roman" w:hint="default"/>
      </w:rPr>
    </w:lvl>
    <w:lvl w:ilvl="1" w:tplc="04010003">
      <w:start w:val="1"/>
      <w:numFmt w:val="bullet"/>
      <w:lvlText w:val="o"/>
      <w:lvlJc w:val="left"/>
      <w:pPr>
        <w:tabs>
          <w:tab w:val="num" w:pos="1080"/>
        </w:tabs>
        <w:ind w:left="1080" w:right="1440" w:hanging="360"/>
      </w:pPr>
      <w:rPr>
        <w:rFonts w:ascii="Courier New" w:hAnsi="Courier New" w:hint="default"/>
      </w:rPr>
    </w:lvl>
    <w:lvl w:ilvl="2" w:tplc="04010005" w:tentative="1">
      <w:start w:val="1"/>
      <w:numFmt w:val="bullet"/>
      <w:lvlText w:val=""/>
      <w:lvlJc w:val="left"/>
      <w:pPr>
        <w:tabs>
          <w:tab w:val="num" w:pos="1800"/>
        </w:tabs>
        <w:ind w:left="1800" w:right="2160" w:hanging="360"/>
      </w:pPr>
      <w:rPr>
        <w:rFonts w:ascii="Wingdings" w:hAnsi="Wingdings" w:hint="default"/>
      </w:rPr>
    </w:lvl>
    <w:lvl w:ilvl="3" w:tplc="04010001" w:tentative="1">
      <w:start w:val="1"/>
      <w:numFmt w:val="bullet"/>
      <w:lvlText w:val=""/>
      <w:lvlJc w:val="left"/>
      <w:pPr>
        <w:tabs>
          <w:tab w:val="num" w:pos="2520"/>
        </w:tabs>
        <w:ind w:left="2520" w:right="2880" w:hanging="360"/>
      </w:pPr>
      <w:rPr>
        <w:rFonts w:ascii="Symbol" w:hAnsi="Symbol" w:hint="default"/>
      </w:rPr>
    </w:lvl>
    <w:lvl w:ilvl="4" w:tplc="04010003" w:tentative="1">
      <w:start w:val="1"/>
      <w:numFmt w:val="bullet"/>
      <w:lvlText w:val="o"/>
      <w:lvlJc w:val="left"/>
      <w:pPr>
        <w:tabs>
          <w:tab w:val="num" w:pos="3240"/>
        </w:tabs>
        <w:ind w:left="3240" w:right="3600" w:hanging="360"/>
      </w:pPr>
      <w:rPr>
        <w:rFonts w:ascii="Courier New" w:hAnsi="Courier New" w:hint="default"/>
      </w:rPr>
    </w:lvl>
    <w:lvl w:ilvl="5" w:tplc="04010005" w:tentative="1">
      <w:start w:val="1"/>
      <w:numFmt w:val="bullet"/>
      <w:lvlText w:val=""/>
      <w:lvlJc w:val="left"/>
      <w:pPr>
        <w:tabs>
          <w:tab w:val="num" w:pos="3960"/>
        </w:tabs>
        <w:ind w:left="3960" w:right="4320" w:hanging="360"/>
      </w:pPr>
      <w:rPr>
        <w:rFonts w:ascii="Wingdings" w:hAnsi="Wingdings" w:hint="default"/>
      </w:rPr>
    </w:lvl>
    <w:lvl w:ilvl="6" w:tplc="04010001" w:tentative="1">
      <w:start w:val="1"/>
      <w:numFmt w:val="bullet"/>
      <w:lvlText w:val=""/>
      <w:lvlJc w:val="left"/>
      <w:pPr>
        <w:tabs>
          <w:tab w:val="num" w:pos="4680"/>
        </w:tabs>
        <w:ind w:left="4680" w:right="5040" w:hanging="360"/>
      </w:pPr>
      <w:rPr>
        <w:rFonts w:ascii="Symbol" w:hAnsi="Symbol" w:hint="default"/>
      </w:rPr>
    </w:lvl>
    <w:lvl w:ilvl="7" w:tplc="04010003" w:tentative="1">
      <w:start w:val="1"/>
      <w:numFmt w:val="bullet"/>
      <w:lvlText w:val="o"/>
      <w:lvlJc w:val="left"/>
      <w:pPr>
        <w:tabs>
          <w:tab w:val="num" w:pos="5400"/>
        </w:tabs>
        <w:ind w:left="5400" w:right="5760" w:hanging="360"/>
      </w:pPr>
      <w:rPr>
        <w:rFonts w:ascii="Courier New" w:hAnsi="Courier New" w:hint="default"/>
      </w:rPr>
    </w:lvl>
    <w:lvl w:ilvl="8" w:tplc="04010005" w:tentative="1">
      <w:start w:val="1"/>
      <w:numFmt w:val="bullet"/>
      <w:lvlText w:val=""/>
      <w:lvlJc w:val="left"/>
      <w:pPr>
        <w:tabs>
          <w:tab w:val="num" w:pos="6120"/>
        </w:tabs>
        <w:ind w:left="6120" w:righ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96"/>
    <w:rsid w:val="00054733"/>
    <w:rsid w:val="000B4115"/>
    <w:rsid w:val="00136C2E"/>
    <w:rsid w:val="001450CC"/>
    <w:rsid w:val="0017635C"/>
    <w:rsid w:val="00204A29"/>
    <w:rsid w:val="002B3A32"/>
    <w:rsid w:val="00304D97"/>
    <w:rsid w:val="004A347E"/>
    <w:rsid w:val="004C582C"/>
    <w:rsid w:val="0055069B"/>
    <w:rsid w:val="00573C36"/>
    <w:rsid w:val="00576A54"/>
    <w:rsid w:val="006B1ECE"/>
    <w:rsid w:val="007967F1"/>
    <w:rsid w:val="007A4896"/>
    <w:rsid w:val="00933AC5"/>
    <w:rsid w:val="009C2925"/>
    <w:rsid w:val="00AB4C19"/>
    <w:rsid w:val="00C52B32"/>
    <w:rsid w:val="00C575EE"/>
    <w:rsid w:val="00CF4B64"/>
    <w:rsid w:val="00D71045"/>
    <w:rsid w:val="00D71CB2"/>
    <w:rsid w:val="00D73B88"/>
    <w:rsid w:val="00E40F8E"/>
    <w:rsid w:val="00E5578A"/>
    <w:rsid w:val="00E978BF"/>
    <w:rsid w:val="00F43A63"/>
    <w:rsid w:val="00F45040"/>
    <w:rsid w:val="00FE5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3DBD1"/>
  <w15:docId w15:val="{605F085F-9F42-4288-A712-57F4DC1A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8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A4896"/>
    <w:rPr>
      <w:i/>
      <w:iCs/>
    </w:rPr>
  </w:style>
  <w:style w:type="paragraph" w:styleId="Footer">
    <w:name w:val="footer"/>
    <w:basedOn w:val="Normal"/>
    <w:rsid w:val="007A4896"/>
    <w:pPr>
      <w:tabs>
        <w:tab w:val="center" w:pos="4153"/>
        <w:tab w:val="right" w:pos="8306"/>
      </w:tabs>
    </w:pPr>
  </w:style>
  <w:style w:type="character" w:styleId="PageNumber">
    <w:name w:val="page number"/>
    <w:basedOn w:val="DefaultParagraphFont"/>
    <w:rsid w:val="007A4896"/>
  </w:style>
  <w:style w:type="character" w:styleId="Strong">
    <w:name w:val="Strong"/>
    <w:basedOn w:val="DefaultParagraphFont"/>
    <w:uiPriority w:val="22"/>
    <w:qFormat/>
    <w:rsid w:val="009C2925"/>
    <w:rPr>
      <w:b/>
      <w:bCs/>
    </w:rPr>
  </w:style>
  <w:style w:type="paragraph" w:styleId="ListParagraph">
    <w:name w:val="List Paragraph"/>
    <w:basedOn w:val="Normal"/>
    <w:uiPriority w:val="34"/>
    <w:qFormat/>
    <w:rsid w:val="00204A29"/>
    <w:pPr>
      <w:widowControl w:val="0"/>
      <w:ind w:left="720"/>
      <w:contextualSpacing/>
    </w:pPr>
    <w:rPr>
      <w:rFonts w:cs="Traditional Arab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79138">
      <w:bodyDiv w:val="1"/>
      <w:marLeft w:val="0"/>
      <w:marRight w:val="0"/>
      <w:marTop w:val="0"/>
      <w:marBottom w:val="0"/>
      <w:divBdr>
        <w:top w:val="none" w:sz="0" w:space="0" w:color="auto"/>
        <w:left w:val="none" w:sz="0" w:space="0" w:color="auto"/>
        <w:bottom w:val="none" w:sz="0" w:space="0" w:color="auto"/>
        <w:right w:val="none" w:sz="0" w:space="0" w:color="auto"/>
      </w:divBdr>
      <w:divsChild>
        <w:div w:id="1460027707">
          <w:marLeft w:val="0"/>
          <w:marRight w:val="0"/>
          <w:marTop w:val="0"/>
          <w:marBottom w:val="0"/>
          <w:divBdr>
            <w:top w:val="none" w:sz="0" w:space="0" w:color="auto"/>
            <w:left w:val="none" w:sz="0" w:space="0" w:color="auto"/>
            <w:bottom w:val="none" w:sz="0" w:space="0" w:color="auto"/>
            <w:right w:val="none" w:sz="0" w:space="0" w:color="auto"/>
          </w:divBdr>
        </w:div>
      </w:divsChild>
    </w:div>
    <w:div w:id="612976281">
      <w:bodyDiv w:val="1"/>
      <w:marLeft w:val="0"/>
      <w:marRight w:val="0"/>
      <w:marTop w:val="0"/>
      <w:marBottom w:val="0"/>
      <w:divBdr>
        <w:top w:val="none" w:sz="0" w:space="0" w:color="auto"/>
        <w:left w:val="none" w:sz="0" w:space="0" w:color="auto"/>
        <w:bottom w:val="none" w:sz="0" w:space="0" w:color="auto"/>
        <w:right w:val="none" w:sz="0" w:space="0" w:color="auto"/>
      </w:divBdr>
      <w:divsChild>
        <w:div w:id="1375619705">
          <w:marLeft w:val="0"/>
          <w:marRight w:val="0"/>
          <w:marTop w:val="0"/>
          <w:marBottom w:val="0"/>
          <w:divBdr>
            <w:top w:val="none" w:sz="0" w:space="0" w:color="auto"/>
            <w:left w:val="none" w:sz="0" w:space="0" w:color="auto"/>
            <w:bottom w:val="none" w:sz="0" w:space="0" w:color="auto"/>
            <w:right w:val="none" w:sz="0" w:space="0" w:color="auto"/>
          </w:divBdr>
          <w:divsChild>
            <w:div w:id="293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Professor Ahmad Bin Abdullah  (An Anonymous Individual)</vt:lpstr>
      <vt:lpstr>Professor Ahmad Bin Abdullah  (An Anonymous Individual)</vt:lpstr>
    </vt:vector>
  </TitlesOfParts>
  <Company>16/12/2009</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Ahmad Bin Abdullah  (An Anonymous Individual)</dc:title>
  <dc:creator>Dellmon Shrouq Hotel</dc:creator>
  <cp:lastModifiedBy>Rashid Alhamali</cp:lastModifiedBy>
  <cp:revision>2</cp:revision>
  <dcterms:created xsi:type="dcterms:W3CDTF">2020-02-18T09:56:00Z</dcterms:created>
  <dcterms:modified xsi:type="dcterms:W3CDTF">2020-02-18T09:56:00Z</dcterms:modified>
</cp:coreProperties>
</file>