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92" w:rsidRDefault="005D1B4F">
      <w:pPr>
        <w:pStyle w:val="a3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980430" cy="911860"/>
                <wp:effectExtent l="635" t="0" r="635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91186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92" w:rsidRDefault="007E7501">
                            <w:pPr>
                              <w:bidi/>
                              <w:ind w:right="4099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thick"/>
                              </w:rPr>
                              <w:t>اﻟﻣﺻطﻠﺣﺎت</w:t>
                            </w:r>
                            <w:proofErr w:type="spellEnd"/>
                          </w:p>
                          <w:p w:rsidR="00C86792" w:rsidRDefault="007E7501">
                            <w:pPr>
                              <w:pStyle w:val="a3"/>
                              <w:bidi/>
                              <w:spacing w:before="36" w:line="524" w:lineRule="exact"/>
                              <w:ind w:left="3493" w:right="3496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اﻟﺧﺎﺻﺔ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ﺑﻣﻘرر</w:t>
                            </w:r>
                            <w:proofErr w:type="spellEnd"/>
                            <w:r>
                              <w:rPr>
                                <w:rFonts w:ascii="Trebuchet MS" w:cs="Trebuchet MS"/>
                              </w:rPr>
                              <w:t xml:space="preserve"> </w:t>
                            </w:r>
                            <w:r w:rsidR="005D1B4F">
                              <w:rPr>
                                <w:rFonts w:ascii="Trebuchet MS" w:cs="Trebuchet MS"/>
                              </w:rPr>
                              <w:t>101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ﺧﺎص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" fillcolor="#fbe4d5" stroked="f">
                <v:textbox inset="0,0,0,0">
                  <w:txbxContent>
                    <w:p w:rsidR="00C86792" w:rsidRDefault="007E7501">
                      <w:pPr>
                        <w:bidi/>
                        <w:ind w:right="4099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u w:val="thick"/>
                        </w:rPr>
                        <w:t>اﻟﻣﺻطﻠﺣﺎت</w:t>
                      </w:r>
                      <w:proofErr w:type="spellEnd"/>
                    </w:p>
                    <w:p w:rsidR="00C86792" w:rsidRDefault="007E7501">
                      <w:pPr>
                        <w:pStyle w:val="a3"/>
                        <w:bidi/>
                        <w:spacing w:before="36" w:line="524" w:lineRule="exact"/>
                        <w:ind w:left="3493" w:right="3496"/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t>اﻟﺧﺎﺻﺔ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ﺑﻣﻘرر</w:t>
                      </w:r>
                      <w:proofErr w:type="spellEnd"/>
                      <w:r>
                        <w:rPr>
                          <w:rFonts w:ascii="Trebuchet MS" w:cs="Trebuchet MS"/>
                        </w:rPr>
                        <w:t xml:space="preserve"> </w:t>
                      </w:r>
                      <w:r w:rsidR="005D1B4F">
                        <w:rPr>
                          <w:rFonts w:ascii="Trebuchet MS" w:cs="Trebuchet MS"/>
                        </w:rPr>
                        <w:t>101</w:t>
                      </w:r>
                      <w:r>
                        <w:t xml:space="preserve"> </w:t>
                      </w:r>
                      <w:proofErr w:type="spellStart"/>
                      <w:r>
                        <w:t>ﺧﺎص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C86792" w:rsidRDefault="00C86792">
      <w:pPr>
        <w:pStyle w:val="a3"/>
        <w:rPr>
          <w:rFonts w:ascii="Times New Roman"/>
          <w:sz w:val="20"/>
        </w:rPr>
      </w:pPr>
    </w:p>
    <w:p w:rsidR="00C86792" w:rsidRDefault="00C86792">
      <w:pPr>
        <w:pStyle w:val="a3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75"/>
      </w:tblGrid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special education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spacing w:before="5"/>
              <w:rPr>
                <w:rFonts w:ascii="Arial" w:cs="Arial" w:hint="cs"/>
                <w:sz w:val="24"/>
                <w:szCs w:val="24"/>
                <w:rtl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 xml:space="preserve"> التربية الخاصة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children with special needs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B20E0F">
            <w:pPr>
              <w:pStyle w:val="TableParagraph"/>
              <w:bidi/>
              <w:ind w:left="96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الأطفال ذوو الحاجات الخاصة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impairment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6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الضعف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6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العجز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Handicap</w:t>
            </w:r>
          </w:p>
        </w:tc>
        <w:tc>
          <w:tcPr>
            <w:tcW w:w="4675" w:type="dxa"/>
            <w:shd w:val="clear" w:color="auto" w:fill="FBE4D5"/>
          </w:tcPr>
          <w:p w:rsidR="00C86792" w:rsidRDefault="007E7501" w:rsidP="00EB73AD">
            <w:pPr>
              <w:pStyle w:val="TableParagraph"/>
              <w:bidi/>
              <w:ind w:left="96"/>
              <w:rPr>
                <w:rFonts w:ascii="Arial" w:cs="Arial" w:hint="cs"/>
                <w:sz w:val="24"/>
                <w:szCs w:val="24"/>
                <w:rtl/>
              </w:rPr>
            </w:pPr>
            <w:r>
              <w:rPr>
                <w:rFonts w:ascii="Arial" w:cs="Arial"/>
                <w:sz w:val="24"/>
                <w:szCs w:val="24"/>
              </w:rPr>
              <w:t>ا</w:t>
            </w:r>
            <w:r w:rsidR="00B20E0F">
              <w:rPr>
                <w:rFonts w:ascii="Arial" w:cs="Arial" w:hint="cs"/>
                <w:sz w:val="24"/>
                <w:szCs w:val="24"/>
                <w:rtl/>
              </w:rPr>
              <w:t>الاعاقة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Disorder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6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الاضطراب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mental Retardation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6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الإعاقة العقلية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learning Disabilities</w:t>
            </w:r>
          </w:p>
        </w:tc>
        <w:tc>
          <w:tcPr>
            <w:tcW w:w="4675" w:type="dxa"/>
            <w:shd w:val="clear" w:color="auto" w:fill="FBE4D5"/>
          </w:tcPr>
          <w:p w:rsidR="00C86792" w:rsidRDefault="005D1B4F" w:rsidP="00EB73AD">
            <w:pPr>
              <w:pStyle w:val="TableParagraph"/>
              <w:bidi/>
              <w:spacing w:before="5"/>
              <w:rPr>
                <w:rFonts w:ascii="Arial" w:cs="Arial"/>
                <w:sz w:val="24"/>
                <w:szCs w:val="24"/>
                <w:rtl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 xml:space="preserve"> </w:t>
            </w:r>
            <w:r w:rsidR="00B20E0F">
              <w:rPr>
                <w:rFonts w:ascii="Arial" w:cs="Arial" w:hint="cs"/>
                <w:sz w:val="24"/>
                <w:szCs w:val="24"/>
                <w:rtl/>
              </w:rPr>
              <w:t>صعوبات التعلم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Behavior disorder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6"/>
              <w:rPr>
                <w:rFonts w:ascii="Arial" w:cs="Arial" w:hint="cs"/>
                <w:sz w:val="24"/>
                <w:szCs w:val="24"/>
                <w:rtl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الاضطرابات السلوكية والانفعالية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Pr="005D1B4F" w:rsidRDefault="007E7501" w:rsidP="00EB73AD">
            <w:pPr>
              <w:pStyle w:val="TableParagraph"/>
              <w:bidi/>
              <w:ind w:left="107"/>
              <w:rPr>
                <w:bCs/>
                <w:sz w:val="24"/>
              </w:rPr>
            </w:pPr>
            <w:r w:rsidRPr="005D1B4F">
              <w:rPr>
                <w:bCs/>
                <w:sz w:val="24"/>
              </w:rPr>
              <w:t>Communication Disorder</w:t>
            </w:r>
          </w:p>
        </w:tc>
        <w:tc>
          <w:tcPr>
            <w:tcW w:w="4675" w:type="dxa"/>
            <w:shd w:val="clear" w:color="auto" w:fill="FBE4D5"/>
          </w:tcPr>
          <w:p w:rsidR="00C86792" w:rsidRDefault="005D1B4F" w:rsidP="00EB73AD">
            <w:pPr>
              <w:pStyle w:val="TableParagraph"/>
              <w:bidi/>
              <w:rPr>
                <w:rFonts w:ascii="Arial" w:cs="Arial"/>
                <w:sz w:val="24"/>
                <w:szCs w:val="24"/>
                <w:rtl/>
              </w:rPr>
            </w:pPr>
            <w:r>
              <w:rPr>
                <w:rFonts w:ascii="Arial" w:cs="Arial"/>
                <w:sz w:val="24"/>
                <w:szCs w:val="24"/>
              </w:rPr>
              <w:t xml:space="preserve"> </w:t>
            </w:r>
            <w:r w:rsidR="00B20E0F">
              <w:rPr>
                <w:rFonts w:ascii="Arial" w:cs="Arial" w:hint="cs"/>
                <w:sz w:val="24"/>
                <w:szCs w:val="24"/>
                <w:rtl/>
              </w:rPr>
              <w:t xml:space="preserve">اضطرابات النطق </w:t>
            </w:r>
            <w:proofErr w:type="gramStart"/>
            <w:r w:rsidR="00B20E0F">
              <w:rPr>
                <w:rFonts w:ascii="Arial" w:cs="Arial" w:hint="cs"/>
                <w:sz w:val="24"/>
                <w:szCs w:val="24"/>
                <w:rtl/>
              </w:rPr>
              <w:t>والكلام(</w:t>
            </w:r>
            <w:proofErr w:type="gramEnd"/>
            <w:r w:rsidR="00B20E0F">
              <w:rPr>
                <w:rFonts w:ascii="Arial" w:cs="Arial" w:hint="cs"/>
                <w:sz w:val="24"/>
                <w:szCs w:val="24"/>
                <w:rtl/>
              </w:rPr>
              <w:t>اضطرابات التواصل)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Hearing impairments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spacing w:before="5"/>
              <w:ind w:left="97"/>
              <w:rPr>
                <w:rFonts w:ascii="Arial" w:cs="Arial" w:hint="cs"/>
                <w:sz w:val="24"/>
                <w:szCs w:val="24"/>
                <w:rtl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الإعاقة السمعية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visual impairments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الإعاقة البصرية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Giftedness and talented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الموهبة والتفوق العقلي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Slow Learner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spacing w:before="5"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بطْئ التعلم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Autism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التوحد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academic learning</w:t>
            </w:r>
            <w:r w:rsidR="005D1B4F">
              <w:rPr>
                <w:spacing w:val="-58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صعوبات التعلم الاكاديمية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developmental learning difficulties</w:t>
            </w:r>
          </w:p>
        </w:tc>
        <w:tc>
          <w:tcPr>
            <w:tcW w:w="4675" w:type="dxa"/>
            <w:shd w:val="clear" w:color="auto" w:fill="FBE4D5"/>
          </w:tcPr>
          <w:p w:rsidR="00C86792" w:rsidRDefault="005D1B4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 xml:space="preserve"> </w:t>
            </w:r>
            <w:r w:rsidR="007E7501">
              <w:rPr>
                <w:rFonts w:ascii="Arial" w:cs="Arial"/>
                <w:sz w:val="24"/>
                <w:szCs w:val="24"/>
              </w:rPr>
              <w:t xml:space="preserve"> </w:t>
            </w:r>
            <w:r w:rsidR="00B20E0F">
              <w:rPr>
                <w:rFonts w:ascii="Arial" w:cs="Arial" w:hint="cs"/>
                <w:sz w:val="24"/>
                <w:szCs w:val="24"/>
                <w:rtl/>
              </w:rPr>
              <w:t>صعوبات التعلم النمائية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Integration</w:t>
            </w:r>
          </w:p>
        </w:tc>
        <w:tc>
          <w:tcPr>
            <w:tcW w:w="4675" w:type="dxa"/>
            <w:shd w:val="clear" w:color="auto" w:fill="FBE4D5"/>
          </w:tcPr>
          <w:p w:rsidR="00C86792" w:rsidRDefault="007E7501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ا</w:t>
            </w:r>
            <w:r w:rsidR="00B20E0F">
              <w:rPr>
                <w:rFonts w:ascii="Arial" w:cs="Arial" w:hint="cs"/>
                <w:sz w:val="24"/>
                <w:szCs w:val="24"/>
                <w:rtl/>
              </w:rPr>
              <w:t>الدمج</w:t>
            </w:r>
          </w:p>
        </w:tc>
      </w:tr>
    </w:tbl>
    <w:p w:rsidR="00C86792" w:rsidRDefault="00C86792" w:rsidP="00EB73AD">
      <w:pPr>
        <w:bidi/>
        <w:rPr>
          <w:sz w:val="24"/>
          <w:szCs w:val="24"/>
        </w:rPr>
        <w:sectPr w:rsidR="00C86792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75"/>
      </w:tblGrid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Resource Room</w:t>
            </w:r>
          </w:p>
        </w:tc>
        <w:tc>
          <w:tcPr>
            <w:tcW w:w="4675" w:type="dxa"/>
            <w:shd w:val="clear" w:color="auto" w:fill="FBE4D5"/>
          </w:tcPr>
          <w:p w:rsidR="00C86792" w:rsidRDefault="005D1B4F" w:rsidP="00EB73AD">
            <w:pPr>
              <w:pStyle w:val="TableParagraph"/>
              <w:bidi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 xml:space="preserve">  </w:t>
            </w:r>
            <w:r w:rsidR="007E7501">
              <w:rPr>
                <w:rFonts w:ascii="Arial" w:cs="Arial"/>
                <w:sz w:val="24"/>
                <w:szCs w:val="24"/>
              </w:rPr>
              <w:t xml:space="preserve"> </w:t>
            </w:r>
            <w:r w:rsidR="00B20E0F">
              <w:rPr>
                <w:rFonts w:ascii="Arial" w:cs="Arial" w:hint="cs"/>
                <w:sz w:val="24"/>
                <w:szCs w:val="24"/>
                <w:rtl/>
              </w:rPr>
              <w:t>غرفة المصادر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الفصل الخاص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educational alternatives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البدائل التربوية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transitional programs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البرامج الانتقالية</w:t>
            </w:r>
          </w:p>
        </w:tc>
      </w:tr>
      <w:tr w:rsidR="00C86792" w:rsidTr="00EB73AD">
        <w:trPr>
          <w:trHeight w:val="587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Rehabilitation</w:t>
            </w:r>
          </w:p>
        </w:tc>
        <w:tc>
          <w:tcPr>
            <w:tcW w:w="4675" w:type="dxa"/>
            <w:shd w:val="clear" w:color="auto" w:fill="FBE4D5"/>
          </w:tcPr>
          <w:p w:rsidR="00C86792" w:rsidRDefault="007E7501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w w:val="90"/>
                <w:sz w:val="24"/>
                <w:szCs w:val="24"/>
              </w:rPr>
              <w:t>ا</w:t>
            </w:r>
            <w:r w:rsidR="00B20E0F">
              <w:rPr>
                <w:rFonts w:ascii="Arial" w:cs="Arial" w:hint="cs"/>
                <w:w w:val="90"/>
                <w:sz w:val="24"/>
                <w:szCs w:val="24"/>
                <w:rtl/>
              </w:rPr>
              <w:t>التأهيل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Support Services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الخدمات المساندة</w:t>
            </w:r>
          </w:p>
        </w:tc>
      </w:tr>
      <w:tr w:rsidR="00C86792" w:rsidTr="00EB73AD">
        <w:trPr>
          <w:trHeight w:val="585"/>
        </w:trPr>
        <w:tc>
          <w:tcPr>
            <w:tcW w:w="4675" w:type="dxa"/>
            <w:shd w:val="clear" w:color="auto" w:fill="D9E2F3"/>
          </w:tcPr>
          <w:p w:rsidR="00C86792" w:rsidRDefault="007E7501" w:rsidP="00EB73AD">
            <w:pPr>
              <w:pStyle w:val="TableParagraph"/>
              <w:bidi/>
              <w:ind w:left="107"/>
              <w:rPr>
                <w:sz w:val="24"/>
              </w:rPr>
            </w:pPr>
            <w:r>
              <w:rPr>
                <w:sz w:val="24"/>
              </w:rPr>
              <w:t>Early Intervention</w:t>
            </w:r>
          </w:p>
        </w:tc>
        <w:tc>
          <w:tcPr>
            <w:tcW w:w="4675" w:type="dxa"/>
            <w:shd w:val="clear" w:color="auto" w:fill="FBE4D5"/>
          </w:tcPr>
          <w:p w:rsidR="00C86792" w:rsidRDefault="00B20E0F" w:rsidP="00EB73AD">
            <w:pPr>
              <w:pStyle w:val="TableParagraph"/>
              <w:bidi/>
              <w:ind w:left="97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 w:hint="cs"/>
                <w:sz w:val="24"/>
                <w:szCs w:val="24"/>
                <w:rtl/>
              </w:rPr>
              <w:t>التدخل المبكر</w:t>
            </w:r>
            <w:bookmarkStart w:id="0" w:name="_GoBack"/>
            <w:bookmarkEnd w:id="0"/>
          </w:p>
        </w:tc>
      </w:tr>
    </w:tbl>
    <w:p w:rsidR="007E7501" w:rsidRDefault="007E7501"/>
    <w:sectPr w:rsidR="007E7501"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92"/>
    <w:rsid w:val="005D1B4F"/>
    <w:rsid w:val="007E7501"/>
    <w:rsid w:val="00B20E0F"/>
    <w:rsid w:val="00C86792"/>
    <w:rsid w:val="00E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219A6"/>
  <w15:docId w15:val="{5D1D4EDD-6EB0-4B3B-9951-F3D9937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2019-01-19T15:40:00Z</dcterms:created>
  <dcterms:modified xsi:type="dcterms:W3CDTF">2019-01-21T15:18:00Z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2019-01-19T00:00:00Z</vt:filetime>
  </property>
</Properties>
</file>