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AA10A2" w:rsidRDefault="00026F4A" w:rsidP="00AA10A2">
      <w:pPr>
        <w:bidi/>
        <w:spacing w:line="276" w:lineRule="auto"/>
        <w:rPr>
          <w:rFonts w:ascii="Traditional Arabic" w:hAnsi="Traditional Arabic" w:cs="Traditional Arabic"/>
          <w:bCs/>
          <w:color w:val="auto"/>
          <w:sz w:val="28"/>
          <w:szCs w:val="28"/>
          <w:rtl/>
        </w:rPr>
      </w:pPr>
      <w:r w:rsidRPr="00AA10A2">
        <w:rPr>
          <w:rFonts w:ascii="Traditional Arabic" w:hAnsi="Traditional Arabic" w:cs="Traditional Arabic"/>
          <w:noProof/>
          <w:color w:val="auto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3448050</wp:posOffset>
            </wp:positionH>
            <wp:positionV relativeFrom="page">
              <wp:posOffset>457200</wp:posOffset>
            </wp:positionV>
            <wp:extent cx="1428750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366D5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جا</w:t>
      </w: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معة الملك سعود</w:t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853C77" w:rsidRPr="00AA10A2">
        <w:rPr>
          <w:rFonts w:ascii="Traditional Arabic" w:hAnsi="Traditional Arabic" w:cs="Traditional Arabic"/>
          <w:bCs/>
          <w:color w:val="auto"/>
          <w:sz w:val="28"/>
          <w:szCs w:val="28"/>
        </w:rPr>
        <w:tab/>
      </w:r>
      <w:r w:rsidR="00EC7484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                      </w:t>
      </w:r>
      <w:r w:rsidR="00EC7484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 </w:t>
      </w:r>
      <w:r w:rsidR="00CA0566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</w:t>
      </w:r>
      <w:r w:rsidR="0095102B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         </w:t>
      </w:r>
      <w:r w:rsidR="001A63DB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مقرر</w:t>
      </w:r>
      <w:r w:rsidR="00AA10A2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قوانين الإعلام وأخلاقياته</w:t>
      </w:r>
    </w:p>
    <w:p w:rsidR="00026F4A" w:rsidRPr="00AA10A2" w:rsidRDefault="00026F4A" w:rsidP="00AA10A2">
      <w:pPr>
        <w:bidi/>
        <w:spacing w:line="276" w:lineRule="auto"/>
        <w:rPr>
          <w:rFonts w:ascii="Traditional Arabic" w:hAnsi="Traditional Arabic" w:cs="Traditional Arabic"/>
          <w:bCs/>
          <w:color w:val="auto"/>
          <w:sz w:val="28"/>
          <w:szCs w:val="28"/>
          <w:rtl/>
        </w:rPr>
      </w:pP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كلية الآداب</w:t>
      </w:r>
      <w:r w:rsidR="001A63DB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 xml:space="preserve">                                                                                               الفصل الدراسي</w:t>
      </w:r>
      <w:r w:rsidR="00AA10A2"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: الثاني</w:t>
      </w:r>
    </w:p>
    <w:p w:rsidR="00853C77" w:rsidRPr="00AA10A2" w:rsidRDefault="00AA10A2" w:rsidP="00AA10A2">
      <w:pPr>
        <w:bidi/>
        <w:spacing w:line="276" w:lineRule="auto"/>
        <w:rPr>
          <w:rFonts w:ascii="Traditional Arabic" w:hAnsi="Traditional Arabic" w:cs="Traditional Arabic"/>
          <w:b/>
          <w:color w:val="auto"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قسم </w:t>
      </w:r>
      <w:r w:rsidRPr="00AA10A2">
        <w:rPr>
          <w:rFonts w:ascii="Traditional Arabic" w:hAnsi="Traditional Arabic" w:cs="Traditional Arabic" w:hint="cs"/>
          <w:bCs/>
          <w:color w:val="auto"/>
          <w:sz w:val="28"/>
          <w:szCs w:val="28"/>
          <w:rtl/>
        </w:rPr>
        <w:t xml:space="preserve">الإعلام                                                                                              السنة الدراسية: </w:t>
      </w: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rtl/>
        </w:rPr>
        <w:t>35-1436هـ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AA10A2" w:rsidRDefault="00026F4A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AA10A2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7D6DDA" w:rsidRPr="00026F4A" w:rsidTr="00164142">
        <w:trPr>
          <w:cantSplit/>
          <w:trHeight w:val="470"/>
        </w:trPr>
        <w:tc>
          <w:tcPr>
            <w:tcW w:w="8080" w:type="dxa"/>
            <w:tcBorders>
              <w:top w:val="thinThickSmallGap" w:sz="24" w:space="0" w:color="000000"/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7D6DDA" w:rsidP="00D174B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ندى ناصر الأحمري</w:t>
            </w:r>
          </w:p>
        </w:tc>
        <w:tc>
          <w:tcPr>
            <w:tcW w:w="2110" w:type="dxa"/>
            <w:tcBorders>
              <w:top w:val="thinThickSmallGap" w:sz="24" w:space="0" w:color="000000"/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اسم المحاضر</w:t>
            </w:r>
          </w:p>
        </w:tc>
      </w:tr>
      <w:tr w:rsidR="007D6DDA" w:rsidRPr="00026F4A" w:rsidTr="00164142">
        <w:trPr>
          <w:cantSplit/>
          <w:trHeight w:val="470"/>
        </w:trPr>
        <w:tc>
          <w:tcPr>
            <w:tcW w:w="8080" w:type="dxa"/>
            <w:tcBorders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FF4FC2" w:rsidRDefault="007D6DDA" w:rsidP="00D174B5">
            <w:pPr>
              <w:pStyle w:val="TableGrid1"/>
              <w:bidi/>
              <w:rPr>
                <w:rFonts w:ascii="Times New Roman" w:hAnsi="Times New Roman" w:cs="Traditional Arabic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12- 1، الأربعاء 10 -12، الخميس من 8-9</w:t>
            </w:r>
          </w:p>
        </w:tc>
        <w:tc>
          <w:tcPr>
            <w:tcW w:w="2110" w:type="dxa"/>
            <w:tcBorders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الساعات المكتبية</w:t>
            </w:r>
          </w:p>
        </w:tc>
      </w:tr>
      <w:tr w:rsidR="007D6DDA" w:rsidRPr="00026F4A" w:rsidTr="00164142">
        <w:trPr>
          <w:cantSplit/>
          <w:trHeight w:val="435"/>
        </w:trPr>
        <w:tc>
          <w:tcPr>
            <w:tcW w:w="8080" w:type="dxa"/>
            <w:tcBorders>
              <w:left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7D6DDA" w:rsidP="00D174B5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الدور الثاني -</w:t>
            </w:r>
            <w:r>
              <w:rPr>
                <w:rFonts w:ascii="Times New Roman" w:hAnsi="Times New Roman"/>
                <w:bCs/>
                <w:color w:val="auto"/>
                <w:szCs w:val="24"/>
              </w:rPr>
              <w:t>91</w:t>
            </w:r>
          </w:p>
        </w:tc>
        <w:tc>
          <w:tcPr>
            <w:tcW w:w="2110" w:type="dxa"/>
            <w:tcBorders>
              <w:left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رقم المكتب</w:t>
            </w:r>
          </w:p>
        </w:tc>
      </w:tr>
      <w:tr w:rsidR="007D6DDA" w:rsidRPr="00026F4A" w:rsidTr="00164142">
        <w:trPr>
          <w:cantSplit/>
          <w:trHeight w:val="509"/>
        </w:trPr>
        <w:tc>
          <w:tcPr>
            <w:tcW w:w="8080" w:type="dxa"/>
            <w:tcBorders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026F4A" w:rsidRDefault="007D6DD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hyperlink r:id="rId10" w:history="1">
              <w:r w:rsidRPr="00662AB1">
                <w:rPr>
                  <w:rStyle w:val="Hyperlink"/>
                  <w:rFonts w:ascii="Times New Roman" w:hAnsi="Times New Roman"/>
                  <w:bCs/>
                  <w:szCs w:val="24"/>
                </w:rPr>
                <w:t>naalahmari@ksu.edu.sa</w:t>
              </w:r>
            </w:hyperlink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634E1" w:rsidRDefault="007D6DDA" w:rsidP="003634E1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3634E1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عنوان البريدي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1B3129" w:rsidRDefault="00026F4A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1B3129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معلومات المقرر:</w:t>
      </w: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قوانين الإعلام وأخلاقياته</w:t>
            </w:r>
          </w:p>
        </w:tc>
        <w:tc>
          <w:tcPr>
            <w:tcW w:w="21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lang w:val="en-GB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  <w:lang w:val="en-GB"/>
              </w:rPr>
              <w:t>اسم المقرر</w:t>
            </w:r>
          </w:p>
        </w:tc>
      </w:tr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 </w:t>
            </w:r>
            <w:r w:rsidRPr="006772B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(209 تصل)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رقم المقرر</w:t>
            </w:r>
          </w:p>
        </w:tc>
      </w:tr>
      <w:tr w:rsidR="00164142" w:rsidRPr="007E320D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BB4826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يتناول المقرر بعض المبادئ والنظريات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التاريخية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التي تقنن الإعلام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بشكل عام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و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كذلك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السياسة الإعلامية في المملكة </w:t>
            </w:r>
            <w:r w:rsidR="0095102B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العربية السعودية </w:t>
            </w:r>
            <w:r w:rsidRPr="00BB48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وقانون المطابع والمطبوعات والمخالفات الأخلاقية والجزاءات.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eastAsia="Times New Roman" w:hAnsi="Traditional Arabic" w:cs="Traditional Arabic"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eastAsia="Times New Roman" w:hAnsi="Traditional Arabic" w:cs="Traditional Arabic"/>
                <w:bCs/>
                <w:color w:val="auto"/>
                <w:sz w:val="28"/>
                <w:szCs w:val="28"/>
                <w:rtl/>
              </w:rPr>
              <w:t>توصيف المقرر</w:t>
            </w:r>
          </w:p>
        </w:tc>
      </w:tr>
      <w:tr w:rsidR="00164142" w:rsidRPr="005353B9" w:rsidTr="00164142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توسيع مدارك الطالب من الناحية النظامية التي تؤسس للإعلام وتطلع الطالب على الضوابط التي تسير وفقها الوسائل الإعلامية في المملكة ومعرفة شروط إنشاء أي مؤسسة إعلامية.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contextualSpacing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lang w:val="en-AU"/>
              </w:rPr>
            </w:pPr>
            <w:r w:rsidRPr="006772BE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164142" w:rsidRPr="005353B9" w:rsidTr="0016414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مذكرة معتمدة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الكتب الرئيسية</w:t>
            </w:r>
          </w:p>
        </w:tc>
      </w:tr>
      <w:tr w:rsidR="00164142" w:rsidRPr="005353B9" w:rsidTr="00164142">
        <w:trPr>
          <w:cantSplit/>
          <w:trHeight w:val="1000"/>
        </w:trPr>
        <w:tc>
          <w:tcPr>
            <w:tcW w:w="8080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الصحافة والقانون في العالم العربي والولايات المتحدة، الدكتور: سليمان الشمري.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ضوابط الإعلام في الشريعة الإسلامية وأنظمة المملكة العربية السعودية، الدكتور: يوسف محمد القاسم.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نشأة وسائل الإعلام في المملكة العربية السعودية، الدكتور: محمود فريد عزت.</w:t>
            </w:r>
          </w:p>
          <w:p w:rsidR="00164142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المجلس الأعلى للإعلام (نبذة مختصرة).</w:t>
            </w:r>
          </w:p>
          <w:p w:rsidR="00164142" w:rsidRPr="006772BE" w:rsidRDefault="00164142" w:rsidP="00164142">
            <w:pPr>
              <w:pStyle w:val="TableGrid1"/>
              <w:numPr>
                <w:ilvl w:val="0"/>
                <w:numId w:val="7"/>
              </w:numPr>
              <w:bidi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 العربية السعودية ونظام المطابع المطبوعات، إصدارا</w:t>
            </w:r>
            <w:r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وزارة الإعلام.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142" w:rsidRPr="006772BE" w:rsidRDefault="00164142" w:rsidP="0016414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6772BE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المراجع التكميلية (إن وجد)</w:t>
            </w:r>
          </w:p>
        </w:tc>
      </w:tr>
    </w:tbl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233E7F" w:rsidRDefault="007B644B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233E7F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164142">
        <w:trPr>
          <w:cantSplit/>
          <w:trHeight w:val="450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3F564D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تاريخ التغذية الراجعة</w:t>
            </w:r>
          </w:p>
          <w:p w:rsidR="00BE67CE" w:rsidRPr="00B06AFA" w:rsidRDefault="000A41C4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(تزويد الطالبات</w:t>
            </w:r>
            <w:r w:rsidR="00BE67CE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 </w:t>
            </w:r>
            <w:r w:rsidR="00B06AFA" w:rsidRPr="00B06AF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 xml:space="preserve">بالنتيجة) </w:t>
            </w:r>
            <w:r w:rsidR="00B06AFA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*</w:t>
            </w:r>
          </w:p>
        </w:tc>
        <w:tc>
          <w:tcPr>
            <w:tcW w:w="269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3F564D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283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B06AFA" w:rsidRDefault="007F2722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تقس</w:t>
            </w:r>
            <w:r w:rsidR="005A690D"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ي</w:t>
            </w: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955F5D" w:rsidRPr="00B06AFA" w:rsidRDefault="007F2722" w:rsidP="000E6B6C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النوع</w:t>
            </w:r>
          </w:p>
        </w:tc>
      </w:tr>
      <w:tr w:rsidR="00CE05ED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5ED" w:rsidRPr="00BD4062" w:rsidRDefault="00CE05ED" w:rsidP="00AF16E6">
            <w:pPr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الاسبوع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ED" w:rsidRPr="00BD4062" w:rsidRDefault="00CE05ED" w:rsidP="00AF16E6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اسبوعياً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5ED" w:rsidRPr="00BD4062" w:rsidRDefault="00CE05ED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BD4062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5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CE05ED" w:rsidRPr="003B5C34" w:rsidRDefault="00CE05ED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 w:rsidRPr="003B5C34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الحضور والمشاركة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AF16E6" w:rsidP="00AF16E6">
            <w:pPr>
              <w:bidi/>
              <w:jc w:val="center"/>
              <w:rPr>
                <w:rFonts w:ascii="Times New Roman" w:hAnsi="Times New Roman" w:hint="cs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29/1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AF16E6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22</w:t>
            </w:r>
            <w:r w:rsidR="007D6DD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15درجة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55283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التكليف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7D6DDA" w:rsidP="00AF16E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كل أسبوعين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كل أسبوعين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55283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</w:pPr>
            <w:r>
              <w:rPr>
                <w:rFonts w:ascii="Times New Roman" w:hAnsi="Times New Roman" w:cs="Traditional Arabic" w:hint="cs"/>
                <w:bCs/>
                <w:color w:val="auto"/>
                <w:sz w:val="26"/>
                <w:szCs w:val="26"/>
                <w:rtl/>
              </w:rPr>
              <w:t>اختبارات قصيرة</w:t>
            </w:r>
          </w:p>
        </w:tc>
      </w:tr>
      <w:tr w:rsidR="007D6DDA" w:rsidRPr="00B06AFA" w:rsidTr="00164142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DDA" w:rsidRPr="003F564D" w:rsidRDefault="007D6DDA" w:rsidP="00AF16E6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lastRenderedPageBreak/>
              <w:t>13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/2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6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DDA" w:rsidRPr="003F564D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D6DDA" w:rsidRPr="003F564D" w:rsidRDefault="007D6DDA" w:rsidP="00AF16E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فصلي</w:t>
            </w:r>
          </w:p>
        </w:tc>
      </w:tr>
      <w:tr w:rsidR="007F2722" w:rsidRPr="00B06AFA" w:rsidTr="00164142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B06AFA" w:rsidRDefault="00CE05ED" w:rsidP="00B06AFA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3B5C34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40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FFFFF"/>
          </w:tcPr>
          <w:p w:rsidR="007F2722" w:rsidRPr="00B06AFA" w:rsidRDefault="007F2722" w:rsidP="00B06AFA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B06AFA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اختبار نهائي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DE7526" w:rsidRDefault="003F564D" w:rsidP="00DE7526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DE7526" w:rsidRDefault="003F564D" w:rsidP="00026F4A">
      <w:pPr>
        <w:bidi/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</w:pPr>
      <w:r w:rsidRPr="00DE7526">
        <w:rPr>
          <w:rFonts w:ascii="Traditional Arabic" w:hAnsi="Traditional Arabic" w:cs="Traditional Arabic"/>
          <w:bCs/>
          <w:color w:val="auto"/>
          <w:sz w:val="28"/>
          <w:szCs w:val="28"/>
          <w:u w:val="double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196" w:type="dxa"/>
        <w:tblBorders>
          <w:top w:val="thinThickSmallGap" w:sz="24" w:space="0" w:color="auto"/>
          <w:left w:val="thinThickSmallGap" w:sz="24" w:space="0" w:color="auto"/>
          <w:bottom w:val="single" w:sz="4" w:space="0" w:color="000000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835"/>
      </w:tblGrid>
      <w:tr w:rsidR="00853C77" w:rsidRPr="005353B9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 xml:space="preserve">العـنـوان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الأسبوع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مقدمة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1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خلفية مختصرة عن بعض النظريات والمبادئ القانونية مع نظرة مقارنة بالشريعة الإسلامية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2</w:t>
            </w:r>
          </w:p>
        </w:tc>
      </w:tr>
      <w:tr w:rsidR="00354A7A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خلفية مختصرة عن بعض النظريات والمبادئ القانونية مع نظرة مقارنة بالشريعة الإسلامية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3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B11528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بعض أقوال المنصفين من </w:t>
            </w:r>
            <w:r w:rsidR="00B11528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علماء</w:t>
            </w:r>
            <w:r w:rsidRPr="00DE7526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غير المسلمين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4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B6163E" w:rsidRDefault="009A4B15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أضواء على نظريات الإعلام والمفهوم الإسلامي حول تلك النظريات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5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B6163E" w:rsidRDefault="00B6163E" w:rsidP="00B6163E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المجلس الأعلى للإعلام في المملكة (نبذة مختصرة) + دراسة الوثيقة الإعلامية المتعلقة بإنشاء الإذاعة السعودية في عهد الملك عبد العزي</w:t>
            </w:r>
            <w:r w:rsidRPr="00B6163E"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  <w:t>ز</w:t>
            </w:r>
            <w:r w:rsidRPr="00B6163E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 xml:space="preserve"> عام 1368ه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6</w:t>
            </w:r>
          </w:p>
        </w:tc>
      </w:tr>
      <w:tr w:rsidR="00354A7A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7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72" w:rsidRPr="00250772" w:rsidRDefault="00250772" w:rsidP="0025077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250772" w:rsidRPr="00DE7526" w:rsidRDefault="00250772" w:rsidP="00250772">
            <w:pPr>
              <w:pStyle w:val="TableGrid1"/>
              <w:bidi/>
              <w:ind w:left="360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أ/</w:t>
            </w: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الخطوط العريضة التي يلتزم بها الإعلام السعودي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8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9A4B15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إجازة منتصف الفصل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4A7A" w:rsidRPr="00DF52CA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</w:pPr>
            <w:r w:rsidRPr="00DF52CA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</w:rPr>
              <w:t>9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772" w:rsidRPr="00250772" w:rsidRDefault="00250772" w:rsidP="00250772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853C77" w:rsidRPr="00DE7526" w:rsidRDefault="00250772" w:rsidP="00250772">
            <w:pPr>
              <w:pStyle w:val="TableGrid1"/>
              <w:bidi/>
              <w:ind w:left="360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ب/دراسة عامة للثلاثين مادة لتحديد عنوان لكل مادة حسب مضمونها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0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D9D" w:rsidRPr="00250772" w:rsidRDefault="00145D9D" w:rsidP="00145D9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250772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السياسة الإعلامية في المملكة</w:t>
            </w:r>
          </w:p>
          <w:p w:rsidR="00145D9D" w:rsidRPr="00413440" w:rsidRDefault="00145D9D" w:rsidP="00145D9D">
            <w:pPr>
              <w:pStyle w:val="TableGrid1"/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  <w:rtl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ج/دراسة تحليله لمواد السياسة الإعلامية:</w:t>
            </w:r>
          </w:p>
          <w:p w:rsidR="00853C77" w:rsidRPr="00DE7526" w:rsidRDefault="00145D9D" w:rsidP="00145D9D">
            <w:pPr>
              <w:pStyle w:val="TableGrid1"/>
              <w:numPr>
                <w:ilvl w:val="0"/>
                <w:numId w:val="14"/>
              </w:numPr>
              <w:bidi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مقدمة مواد السياسة الإعلامية.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1</w:t>
            </w:r>
          </w:p>
        </w:tc>
      </w:tr>
      <w:tr w:rsidR="00853C77" w:rsidRPr="00DE7526" w:rsidTr="00164142">
        <w:trPr>
          <w:cantSplit/>
          <w:trHeight w:val="413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853C77" w:rsidP="00145D9D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2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440" w:rsidRPr="00413440" w:rsidRDefault="00B543B8" w:rsidP="00145D9D">
            <w:pPr>
              <w:pStyle w:val="TableGrid1"/>
              <w:numPr>
                <w:ilvl w:val="0"/>
                <w:numId w:val="14"/>
              </w:numPr>
              <w:bidi/>
              <w:jc w:val="center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 w:rsidRPr="00413440"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دراسة تحليله للمواد من (1-10)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3</w:t>
            </w:r>
          </w:p>
        </w:tc>
      </w:tr>
      <w:tr w:rsidR="00853C77" w:rsidRPr="00DE7526" w:rsidTr="00164142">
        <w:trPr>
          <w:cantSplit/>
          <w:trHeight w:val="440"/>
        </w:trPr>
        <w:tc>
          <w:tcPr>
            <w:tcW w:w="73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13440" w:rsidRDefault="00941CFB" w:rsidP="00941CFB">
            <w:pPr>
              <w:pStyle w:val="TableGrid1"/>
              <w:bidi/>
              <w:spacing w:line="360" w:lineRule="auto"/>
              <w:ind w:left="2770"/>
              <w:rPr>
                <w:rFonts w:ascii="Traditional Arabic" w:hAnsi="Traditional Arabic" w:cs="Traditional Arabic"/>
                <w:b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auto"/>
                <w:sz w:val="28"/>
                <w:szCs w:val="28"/>
                <w:rtl/>
              </w:rPr>
              <w:t>نظام المطابع والمطبوعات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DE7526" w:rsidRDefault="003F564D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 w:rsidRPr="00DE7526"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  <w:t>1</w:t>
            </w:r>
            <w:r w:rsidR="00354A7A"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4</w:t>
            </w:r>
          </w:p>
        </w:tc>
      </w:tr>
      <w:tr w:rsidR="00354A7A" w:rsidRPr="00DE7526" w:rsidTr="00164142">
        <w:trPr>
          <w:cantSplit/>
          <w:trHeight w:val="440"/>
        </w:trPr>
        <w:tc>
          <w:tcPr>
            <w:tcW w:w="7371" w:type="dxa"/>
            <w:tcBorders>
              <w:bottom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941CFB" w:rsidP="00354A7A">
            <w:pPr>
              <w:pStyle w:val="TableGrid1"/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المراجعة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A7A" w:rsidRPr="00DE7526" w:rsidRDefault="00354A7A" w:rsidP="00354A7A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auto"/>
                <w:sz w:val="28"/>
                <w:szCs w:val="28"/>
                <w:rtl/>
              </w:rPr>
              <w:t>15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7D6DDA" w:rsidRDefault="007D6DDA" w:rsidP="00DE7526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</w:rPr>
      </w:pPr>
    </w:p>
    <w:p w:rsidR="00DE7526" w:rsidRPr="00E52C3A" w:rsidRDefault="00DE7526" w:rsidP="007D6DDA">
      <w:pPr>
        <w:bidi/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</w:pPr>
      <w:r w:rsidRPr="00E52C3A">
        <w:rPr>
          <w:rFonts w:ascii="Times New Roman" w:hAnsi="Times New Roman" w:cs="Traditional Arabic"/>
          <w:bCs/>
          <w:color w:val="auto"/>
          <w:sz w:val="32"/>
          <w:szCs w:val="32"/>
          <w:u w:val="double"/>
          <w:rtl/>
        </w:rPr>
        <w:lastRenderedPageBreak/>
        <w:t>تنبيهات هامة:</w:t>
      </w:r>
    </w:p>
    <w:p w:rsidR="00DE7526" w:rsidRPr="00DE7526" w:rsidRDefault="00DE7526" w:rsidP="00DE7526">
      <w:pPr>
        <w:pStyle w:val="a4"/>
        <w:numPr>
          <w:ilvl w:val="0"/>
          <w:numId w:val="10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</w:pPr>
      <w:r w:rsidRPr="00DE7526">
        <w:rPr>
          <w:rStyle w:val="a3"/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>عزيزتي الطالبة يجب عليك تحديث بياناتك (البريد الالكتروني، رقم الجوال) على بوابة النظام الأكاديمي. حيث سيتم التواصل معك عليه في حالة وجود تأجيل أو اعتذار عن محاضرة.</w:t>
      </w:r>
    </w:p>
    <w:p w:rsidR="00DE7526" w:rsidRPr="003B5C34" w:rsidRDefault="00DE7526" w:rsidP="00DE7526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</w:rPr>
      </w:pPr>
      <w:r w:rsidRPr="003B5C34">
        <w:rPr>
          <w:rStyle w:val="a3"/>
          <w:rFonts w:ascii="Traditional Arabic" w:hAnsi="Traditional Arabic" w:cs="Traditional Arabic" w:hint="cs"/>
          <w:sz w:val="28"/>
          <w:szCs w:val="28"/>
          <w:u w:val="double"/>
          <w:rtl/>
        </w:rPr>
        <w:t xml:space="preserve">الحضور: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يتوقع من الطالبة حضور كافة المحاضرات، وعدم التغيب سوى لعذر طبي.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الغياب سيتم احتسابه في البوابة الالكترونية، لذلك آمل منكن التكرم بإعطائي الاعذار في الاسبوع الذي يلي الغياب مباشرة.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سيتم حسم درجة عن غيابك ست ساعات وهكذا.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يتم احتساب درجات للحضور والتفاعل داخل المحاضرة.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درجة الحضور لا تعطى لمن تتغيب بدون عذر مقبول.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يتم احتساب غياب ساعة عند التأخر لمدة عشر دقائق، وغياب ساعتين عند التأخير لمدة نصف ساعة.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عند ضبط استخدام الجوال داخل المحاضرة سيتم احتساب غياب ساعة.</w:t>
      </w:r>
    </w:p>
    <w:p w:rsidR="00DE7526" w:rsidRPr="003B5C34" w:rsidRDefault="00DE7526" w:rsidP="00DE7526">
      <w:pPr>
        <w:pStyle w:val="FreeFormA"/>
        <w:numPr>
          <w:ilvl w:val="0"/>
          <w:numId w:val="8"/>
        </w:numPr>
        <w:bidi/>
        <w:rPr>
          <w:rStyle w:val="a3"/>
          <w:rFonts w:ascii="Traditional Arabic" w:hAnsi="Traditional Arabic" w:cs="Traditional Arabic"/>
          <w:bCs w:val="0"/>
          <w:color w:val="auto"/>
          <w:sz w:val="28"/>
          <w:szCs w:val="28"/>
        </w:rPr>
      </w:pPr>
      <w:r w:rsidRPr="003B5C34">
        <w:rPr>
          <w:rFonts w:ascii="Traditional Arabic" w:hAnsi="Traditional Arabic" w:cs="Traditional Arabic"/>
          <w:b/>
          <w:color w:val="auto"/>
          <w:sz w:val="28"/>
          <w:szCs w:val="28"/>
          <w:rtl/>
        </w:rPr>
        <w:t>ضرورة حصول الطالبات على 80% من درجات الأعمال الفصلية قبل تاريخ الاعتذار.</w:t>
      </w:r>
    </w:p>
    <w:p w:rsidR="00DE7526" w:rsidRPr="003B5C34" w:rsidRDefault="00DE7526" w:rsidP="00DE7526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</w:pPr>
      <w:r w:rsidRPr="003B5C34"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  <w:t>النشاطات الصفية والمنزلية: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يتضمن المقرر نشاطات منزلية تطرح</w:t>
      </w:r>
      <w:r w:rsidRPr="00DE7526">
        <w:rPr>
          <w:rStyle w:val="a3"/>
          <w:rFonts w:ascii="Traditional Arabic" w:hAnsi="Traditional Arabic" w:cs="Traditional Arabic" w:hint="cs"/>
          <w:b w:val="0"/>
          <w:bCs w:val="0"/>
          <w:sz w:val="28"/>
          <w:szCs w:val="28"/>
          <w:rtl/>
        </w:rPr>
        <w:t xml:space="preserve"> أثناء المحاضرة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 عبر "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  <w:t>black board</w:t>
      </w: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"، </w:t>
      </w:r>
      <w:r w:rsidRPr="00DE7526">
        <w:rPr>
          <w:rFonts w:ascii="Traditional Arabic" w:hAnsi="Traditional Arabic" w:cs="Traditional Arabic" w:hint="cs"/>
          <w:sz w:val="28"/>
          <w:szCs w:val="28"/>
          <w:rtl/>
        </w:rPr>
        <w:t>لذا يرجى مراجعته بشكل دائم.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لكل نشاط متطلباته التي ستشرح في حينها.</w:t>
      </w:r>
    </w:p>
    <w:p w:rsidR="00DE7526" w:rsidRPr="00DE7526" w:rsidRDefault="00DE7526" w:rsidP="00DE7526">
      <w:pPr>
        <w:pStyle w:val="a4"/>
        <w:numPr>
          <w:ilvl w:val="0"/>
          <w:numId w:val="9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ينتهي موعد استلام التكليف الاضافي بمجرد بدء المحاضرة. 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لا اقبل أي تكليف بدون الإشارة إلى المصدر. كما ان إحضار التكليف لا يعني الحصول على الدرجة كاملة دون مناقشته.</w:t>
      </w:r>
    </w:p>
    <w:p w:rsidR="00DE7526" w:rsidRPr="007D6DDA" w:rsidRDefault="00DE7526" w:rsidP="007D6DDA">
      <w:pPr>
        <w:pStyle w:val="a4"/>
        <w:rPr>
          <w:rStyle w:val="a3"/>
          <w:rFonts w:ascii="Traditional Arabic" w:hAnsi="Traditional Arabic" w:cs="Traditional Arabic"/>
          <w:sz w:val="28"/>
          <w:szCs w:val="28"/>
          <w:u w:val="double"/>
        </w:rPr>
      </w:pPr>
      <w:r w:rsidRPr="003B5C34">
        <w:rPr>
          <w:rStyle w:val="a3"/>
          <w:rFonts w:ascii="Traditional Arabic" w:hAnsi="Traditional Arabic" w:cs="Traditional Arabic"/>
          <w:sz w:val="28"/>
          <w:szCs w:val="28"/>
          <w:u w:val="double"/>
          <w:rtl/>
        </w:rPr>
        <w:t>الاختبار:</w:t>
      </w:r>
    </w:p>
    <w:p w:rsidR="00DE7526" w:rsidRPr="00DE7526" w:rsidRDefault="00DE7526" w:rsidP="00DE7526">
      <w:pPr>
        <w:pStyle w:val="a4"/>
        <w:numPr>
          <w:ilvl w:val="0"/>
          <w:numId w:val="8"/>
        </w:numPr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</w:rPr>
      </w:pPr>
      <w:r w:rsidRPr="00DE7526">
        <w:rPr>
          <w:rStyle w:val="a3"/>
          <w:rFonts w:ascii="Traditional Arabic" w:hAnsi="Traditional Arabic" w:cs="Traditional Arabic"/>
          <w:b w:val="0"/>
          <w:bCs w:val="0"/>
          <w:sz w:val="28"/>
          <w:szCs w:val="28"/>
          <w:rtl/>
        </w:rPr>
        <w:t>لا يعاد الاختبار الفصلي إلا بعذر طبي من مستشفى حكومي، او حالة وفاة من الدرجة الاولى. على ان يتم الابلاغ بالتغيب قبل موعد الامتحان.</w:t>
      </w:r>
    </w:p>
    <w:p w:rsidR="00183F69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rtl/>
          <w:lang w:bidi="ar-SA"/>
        </w:rPr>
      </w:pPr>
    </w:p>
    <w:p w:rsidR="00DE7526" w:rsidRPr="003B5C34" w:rsidRDefault="00DE7526" w:rsidP="00DE7526">
      <w:pPr>
        <w:pStyle w:val="-11"/>
        <w:bidi/>
        <w:spacing w:before="100" w:beforeAutospacing="1" w:after="100" w:afterAutospacing="1" w:line="360" w:lineRule="auto"/>
        <w:ind w:left="0"/>
        <w:jc w:val="right"/>
        <w:rPr>
          <w:rFonts w:ascii="Traditional Arabic" w:hAnsi="Traditional Arabic" w:cs="Traditional Arabic"/>
          <w:sz w:val="28"/>
          <w:szCs w:val="28"/>
          <w:u w:val="double"/>
          <w:lang w:bidi="ar-SA"/>
        </w:rPr>
      </w:pPr>
      <w:r w:rsidRPr="003B5C34">
        <w:rPr>
          <w:rFonts w:ascii="Traditional Arabic" w:hAnsi="Traditional Arabic" w:cs="Traditional Arabic"/>
          <w:sz w:val="28"/>
          <w:szCs w:val="28"/>
          <w:u w:val="double"/>
          <w:rtl/>
          <w:lang w:bidi="ar-SA"/>
        </w:rPr>
        <w:t>تمنياتي لكن بالتوفيق</w:t>
      </w:r>
    </w:p>
    <w:p w:rsidR="00DE7526" w:rsidRPr="00DE7526" w:rsidRDefault="00DE7526" w:rsidP="00DE7526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DE7526" w:rsidRPr="00DE7526" w:rsidSect="00AA10A2"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A" w:rsidRDefault="003E36AA">
      <w:r>
        <w:separator/>
      </w:r>
    </w:p>
  </w:endnote>
  <w:endnote w:type="continuationSeparator" w:id="0">
    <w:p w:rsidR="003E36AA" w:rsidRDefault="003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A" w:rsidRDefault="003E36AA">
      <w:r>
        <w:separator/>
      </w:r>
    </w:p>
  </w:footnote>
  <w:footnote w:type="continuationSeparator" w:id="0">
    <w:p w:rsidR="003E36AA" w:rsidRDefault="003E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26C87"/>
    <w:multiLevelType w:val="hybridMultilevel"/>
    <w:tmpl w:val="729A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0FDD"/>
    <w:multiLevelType w:val="hybridMultilevel"/>
    <w:tmpl w:val="E5E2C91A"/>
    <w:lvl w:ilvl="0" w:tplc="BE0A19B0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118F"/>
    <w:multiLevelType w:val="hybridMultilevel"/>
    <w:tmpl w:val="6FC67014"/>
    <w:lvl w:ilvl="0" w:tplc="0409000F">
      <w:start w:val="1"/>
      <w:numFmt w:val="decimal"/>
      <w:lvlText w:val="%1."/>
      <w:lvlJc w:val="left"/>
      <w:pPr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D7E16FE"/>
    <w:multiLevelType w:val="hybridMultilevel"/>
    <w:tmpl w:val="ACBE93DE"/>
    <w:lvl w:ilvl="0" w:tplc="3C8E8ECC">
      <w:start w:val="1"/>
      <w:numFmt w:val="decimal"/>
      <w:lvlText w:val="%1."/>
      <w:lvlJc w:val="left"/>
      <w:pPr>
        <w:ind w:left="277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E75"/>
    <w:multiLevelType w:val="hybridMultilevel"/>
    <w:tmpl w:val="D30E6A08"/>
    <w:lvl w:ilvl="0" w:tplc="3970F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3512"/>
    <w:multiLevelType w:val="hybridMultilevel"/>
    <w:tmpl w:val="604831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54908"/>
    <w:multiLevelType w:val="hybridMultilevel"/>
    <w:tmpl w:val="F7A03C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33234"/>
    <w:multiLevelType w:val="hybridMultilevel"/>
    <w:tmpl w:val="5F6AC4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0AB2"/>
    <w:rsid w:val="00026F4A"/>
    <w:rsid w:val="0003282E"/>
    <w:rsid w:val="000462AA"/>
    <w:rsid w:val="00066D5D"/>
    <w:rsid w:val="00070A8C"/>
    <w:rsid w:val="000A2DE8"/>
    <w:rsid w:val="000A41C4"/>
    <w:rsid w:val="000A684E"/>
    <w:rsid w:val="000E6B6C"/>
    <w:rsid w:val="00110C48"/>
    <w:rsid w:val="00145D9D"/>
    <w:rsid w:val="00156FB4"/>
    <w:rsid w:val="001606C9"/>
    <w:rsid w:val="001615DC"/>
    <w:rsid w:val="00164142"/>
    <w:rsid w:val="00167716"/>
    <w:rsid w:val="00183F69"/>
    <w:rsid w:val="001879B6"/>
    <w:rsid w:val="001A63DB"/>
    <w:rsid w:val="001B3129"/>
    <w:rsid w:val="001F173B"/>
    <w:rsid w:val="0022259E"/>
    <w:rsid w:val="00233E7F"/>
    <w:rsid w:val="00250772"/>
    <w:rsid w:val="00262961"/>
    <w:rsid w:val="002831DE"/>
    <w:rsid w:val="00303308"/>
    <w:rsid w:val="00354A7A"/>
    <w:rsid w:val="003634E1"/>
    <w:rsid w:val="003937E0"/>
    <w:rsid w:val="003B30F8"/>
    <w:rsid w:val="003C1E62"/>
    <w:rsid w:val="003E36AA"/>
    <w:rsid w:val="003F564D"/>
    <w:rsid w:val="00402EB7"/>
    <w:rsid w:val="00413440"/>
    <w:rsid w:val="004350FA"/>
    <w:rsid w:val="00473762"/>
    <w:rsid w:val="00477E53"/>
    <w:rsid w:val="004E3745"/>
    <w:rsid w:val="00524EA4"/>
    <w:rsid w:val="00532F02"/>
    <w:rsid w:val="005353B9"/>
    <w:rsid w:val="00547203"/>
    <w:rsid w:val="00563B45"/>
    <w:rsid w:val="00566AF3"/>
    <w:rsid w:val="005A481C"/>
    <w:rsid w:val="005A690D"/>
    <w:rsid w:val="006061E7"/>
    <w:rsid w:val="006772BE"/>
    <w:rsid w:val="006B7C05"/>
    <w:rsid w:val="006F0D1F"/>
    <w:rsid w:val="00766FD6"/>
    <w:rsid w:val="00772364"/>
    <w:rsid w:val="007B644B"/>
    <w:rsid w:val="007D6DDA"/>
    <w:rsid w:val="007E320D"/>
    <w:rsid w:val="007F2722"/>
    <w:rsid w:val="00805E88"/>
    <w:rsid w:val="00853464"/>
    <w:rsid w:val="00853C77"/>
    <w:rsid w:val="008841AE"/>
    <w:rsid w:val="008846D9"/>
    <w:rsid w:val="00904FD9"/>
    <w:rsid w:val="00931959"/>
    <w:rsid w:val="00941CFB"/>
    <w:rsid w:val="0095102B"/>
    <w:rsid w:val="00955F5D"/>
    <w:rsid w:val="009A4B15"/>
    <w:rsid w:val="00A00DCF"/>
    <w:rsid w:val="00A87D55"/>
    <w:rsid w:val="00AA10A2"/>
    <w:rsid w:val="00AF16E6"/>
    <w:rsid w:val="00B06AFA"/>
    <w:rsid w:val="00B11528"/>
    <w:rsid w:val="00B42097"/>
    <w:rsid w:val="00B543B8"/>
    <w:rsid w:val="00B6163E"/>
    <w:rsid w:val="00B63A1D"/>
    <w:rsid w:val="00BB4826"/>
    <w:rsid w:val="00BC3915"/>
    <w:rsid w:val="00BE67CE"/>
    <w:rsid w:val="00C02411"/>
    <w:rsid w:val="00C15B49"/>
    <w:rsid w:val="00C24FD8"/>
    <w:rsid w:val="00CA0123"/>
    <w:rsid w:val="00CA0566"/>
    <w:rsid w:val="00CE05ED"/>
    <w:rsid w:val="00CE33E4"/>
    <w:rsid w:val="00CE52F4"/>
    <w:rsid w:val="00D158BC"/>
    <w:rsid w:val="00DB0AB2"/>
    <w:rsid w:val="00DC490B"/>
    <w:rsid w:val="00DE7526"/>
    <w:rsid w:val="00E366D5"/>
    <w:rsid w:val="00E91456"/>
    <w:rsid w:val="00EC7484"/>
    <w:rsid w:val="00EF31B4"/>
    <w:rsid w:val="00F143B2"/>
    <w:rsid w:val="00F1697B"/>
    <w:rsid w:val="00F7703B"/>
    <w:rsid w:val="00FD1404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34" w:unhideWhenUsed="0" w:qFormat="1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character" w:styleId="a3">
    <w:name w:val="Strong"/>
    <w:uiPriority w:val="22"/>
    <w:qFormat/>
    <w:locked/>
    <w:rsid w:val="00DE7526"/>
    <w:rPr>
      <w:b/>
      <w:bCs/>
    </w:rPr>
  </w:style>
  <w:style w:type="paragraph" w:styleId="a4">
    <w:name w:val="No Spacing"/>
    <w:uiPriority w:val="1"/>
    <w:qFormat/>
    <w:rsid w:val="00DE7526"/>
    <w:pPr>
      <w:bidi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link w:val="Char"/>
    <w:semiHidden/>
    <w:unhideWhenUsed/>
    <w:locked/>
    <w:rsid w:val="001641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semiHidden/>
    <w:rsid w:val="00164142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alahmari@ksu.edu.s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3A18D0-1A25-4156-95AE-60F1B4D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Media-Lab5-1</cp:lastModifiedBy>
  <cp:revision>35</cp:revision>
  <cp:lastPrinted>2015-02-03T17:59:00Z</cp:lastPrinted>
  <dcterms:created xsi:type="dcterms:W3CDTF">2015-02-02T10:53:00Z</dcterms:created>
  <dcterms:modified xsi:type="dcterms:W3CDTF">2015-08-31T09:03:00Z</dcterms:modified>
</cp:coreProperties>
</file>