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7" w:rsidRPr="004126BF" w:rsidRDefault="00026F4A" w:rsidP="008E69A0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4126BF">
        <w:rPr>
          <w:rFonts w:asciiTheme="majorBidi" w:hAnsiTheme="majorBidi" w:cstheme="majorBid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جا</w:t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معة الملك سعود</w:t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853C77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853C77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853C77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853C77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853C77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</w:t>
      </w:r>
      <w:r w:rsidR="00853C77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3F564D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                           مفردات</w:t>
      </w:r>
      <w:r w:rsidR="001A63DB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 المقرر</w:t>
      </w:r>
      <w:r w:rsidR="008E69A0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:</w:t>
      </w:r>
      <w:r w:rsidR="004126BF">
        <w:rPr>
          <w:rFonts w:asciiTheme="majorBidi" w:hAnsiTheme="majorBidi" w:cstheme="majorBidi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8E69A0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علم اجتماع التنمية والبيئة.</w:t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            </w:t>
      </w:r>
    </w:p>
    <w:p w:rsidR="00026F4A" w:rsidRPr="004126BF" w:rsidRDefault="00026F4A" w:rsidP="006A1573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كلية الآداب</w:t>
      </w:r>
      <w:r w:rsidR="001A63DB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                                                                                                              الفصل الدراسي: </w:t>
      </w:r>
      <w:r w:rsidR="006A1573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الأول </w:t>
      </w:r>
    </w:p>
    <w:p w:rsidR="00853C77" w:rsidRPr="004126BF" w:rsidRDefault="00853C77" w:rsidP="00DB4A9C">
      <w:pPr>
        <w:bidi/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0A41C4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                      </w:t>
      </w:r>
      <w:r w:rsidR="001A63DB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</w:t>
      </w:r>
      <w:r w:rsidR="001A63DB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السنة الدراسية: </w:t>
      </w:r>
      <w:r w:rsidR="00DB4A9C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1439هـ</w:t>
      </w:r>
      <w:r w:rsidR="008E69A0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 -</w:t>
      </w:r>
      <w:r w:rsidR="00DB4A9C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1440</w:t>
      </w:r>
      <w:r w:rsidR="00EA40D0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هـ</w:t>
      </w:r>
    </w:p>
    <w:p w:rsidR="00853C77" w:rsidRPr="004126BF" w:rsidRDefault="00853C77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7B644B" w:rsidRPr="004126BF" w:rsidRDefault="007B644B" w:rsidP="007B644B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853C77" w:rsidRPr="004126BF" w:rsidRDefault="00026F4A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معلومات المحاضر:</w:t>
      </w:r>
    </w:p>
    <w:p w:rsidR="00026F4A" w:rsidRPr="004126BF" w:rsidRDefault="00026F4A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F86325" w:rsidRPr="004126BF" w:rsidTr="006F681F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6A1573" w:rsidP="006A1573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تهاني </w:t>
            </w:r>
            <w:r w:rsidR="004126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محمد</w:t>
            </w:r>
            <w:proofErr w:type="gramEnd"/>
            <w:r w:rsidR="004126BF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F86325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 اسم المحاضر</w:t>
            </w:r>
          </w:p>
        </w:tc>
      </w:tr>
      <w:tr w:rsidR="00F86325" w:rsidRPr="004126BF" w:rsidTr="006F681F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73" w:rsidRPr="004126BF" w:rsidRDefault="006A1573" w:rsidP="00F221F2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الخميس </w:t>
            </w:r>
            <w:r w:rsidR="00F221F2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10-12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F86325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الساعات المكتبية</w:t>
            </w:r>
          </w:p>
        </w:tc>
      </w:tr>
      <w:tr w:rsidR="00F86325" w:rsidRPr="004126BF" w:rsidTr="006F681F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F86325" w:rsidP="006A1573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الدور3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مكتب </w:t>
            </w:r>
            <w:r w:rsidR="006A1573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F86325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رقم المكتب</w:t>
            </w:r>
          </w:p>
        </w:tc>
      </w:tr>
      <w:tr w:rsidR="00F86325" w:rsidRPr="004126BF" w:rsidTr="006F681F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F86325" w:rsidP="006A1573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6A1573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taljohani</w:t>
            </w:r>
            <w:r w:rsidR="00A9498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325" w:rsidRPr="004126BF" w:rsidRDefault="00F86325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عنوان البريدي الإلكتروني</w:t>
            </w:r>
          </w:p>
        </w:tc>
      </w:tr>
    </w:tbl>
    <w:p w:rsidR="004126BF" w:rsidRDefault="004126BF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853C77" w:rsidRPr="004126BF" w:rsidRDefault="00026F4A" w:rsidP="004126BF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معلومات المقرر:</w:t>
      </w:r>
    </w:p>
    <w:p w:rsidR="00026F4A" w:rsidRPr="004126BF" w:rsidRDefault="00026F4A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4126BF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F15827" w:rsidP="00524EA4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علم اجتماع التنمية والبيئة.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026F4A" w:rsidP="00026F4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val="en-GB"/>
              </w:rPr>
              <w:t xml:space="preserve"> اسم المقرر</w:t>
            </w:r>
          </w:p>
        </w:tc>
      </w:tr>
      <w:tr w:rsidR="00853C77" w:rsidRPr="004126BF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F15827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303 جمع.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026F4A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رقم المقرر</w:t>
            </w:r>
          </w:p>
        </w:tc>
      </w:tr>
      <w:tr w:rsidR="00853C77" w:rsidRPr="004126BF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F15827" w:rsidP="00026F4A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يهدف هذا المقرر تعريف الطالبات بقضايا التنمية الاقتصادية والاجتماعية والسياسية والتنمية المستدامة والاعتماد على الذات.  كما يهدف المقرر أيضا إلى أن تميز الطالبات بين الاستراتيجيات المختلفة للتنمية والمنطلقات التي تنبثق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عنها,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ومعر</w:t>
            </w:r>
            <w:r w:rsidR="00E47E8A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فة اهتمامات علم اجتماع التنمية و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البيئة, ومن ثم تكون لديهن القدرة على توجيه جهودهن في شتى مجالات التنمية ومساعدتهم في تحقيق أهدافها.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026F4A" w:rsidP="00026F4A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توصيف المقرر</w:t>
            </w:r>
          </w:p>
        </w:tc>
      </w:tr>
      <w:tr w:rsidR="00853C77" w:rsidRPr="004126BF" w:rsidTr="000B2600">
        <w:trPr>
          <w:cantSplit/>
          <w:trHeight w:val="33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E8A" w:rsidRPr="004126BF" w:rsidRDefault="00E47E8A" w:rsidP="00E47E8A">
            <w:pPr>
              <w:bidi/>
              <w:spacing w:line="276" w:lineRule="auto"/>
              <w:ind w:left="720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853C77" w:rsidRPr="004126BF" w:rsidRDefault="00E47E8A" w:rsidP="00E47E8A">
            <w:pPr>
              <w:bidi/>
              <w:spacing w:line="276" w:lineRule="auto"/>
              <w:ind w:left="720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1-علم اجتماع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التنمية .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فؤاد غضبان (2015). دار الرضوان للنشر و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التوزيع ،الأردن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E8A" w:rsidRPr="004126BF" w:rsidRDefault="00853C77" w:rsidP="005A690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53C77" w:rsidRPr="004126BF" w:rsidRDefault="00E47E8A" w:rsidP="00E47E8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</w:t>
            </w:r>
            <w:r w:rsidR="005A690D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لكتب الرئيسية </w:t>
            </w:r>
          </w:p>
        </w:tc>
      </w:tr>
      <w:tr w:rsidR="000B2600" w:rsidRPr="004126BF" w:rsidTr="000B2600">
        <w:trPr>
          <w:cantSplit/>
          <w:trHeight w:val="1995"/>
        </w:trPr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E8A" w:rsidRPr="004126BF" w:rsidRDefault="00E47E8A" w:rsidP="00E47E8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</w:p>
          <w:p w:rsidR="00E47E8A" w:rsidRPr="004126BF" w:rsidRDefault="00E47E8A" w:rsidP="00F221F2">
            <w:pPr>
              <w:pStyle w:val="a4"/>
              <w:numPr>
                <w:ilvl w:val="0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علم اجتماع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التنمية .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محمد الجوهري</w:t>
            </w:r>
            <w:r w:rsidR="00F221F2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. (2010). 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دار المسيرة</w:t>
            </w:r>
            <w:r w:rsidR="00F221F2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، الأردن.</w:t>
            </w:r>
          </w:p>
          <w:p w:rsidR="000B2600" w:rsidRPr="004126BF" w:rsidRDefault="00E47E8A" w:rsidP="00F221F2">
            <w:pPr>
              <w:numPr>
                <w:ilvl w:val="0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علم اجتماع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التنمية .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</w:t>
            </w:r>
            <w:r w:rsidR="00F221F2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إحسان حفظي (2011</w:t>
            </w:r>
            <w:proofErr w:type="gramStart"/>
            <w:r w:rsidR="00F221F2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) :</w:t>
            </w:r>
            <w:proofErr w:type="gramEnd"/>
            <w:r w:rsidR="000B2600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دار المعرفة الجامعية، الإسكندرية.</w:t>
            </w:r>
          </w:p>
          <w:p w:rsidR="00D400FC" w:rsidRPr="004126BF" w:rsidRDefault="00F221F2" w:rsidP="00F221F2">
            <w:pPr>
              <w:numPr>
                <w:ilvl w:val="0"/>
                <w:numId w:val="7"/>
              </w:num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التنمية الاجتماعية في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اطار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المتغيرات المحاية والعالمية. منى خليل (2012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):</w:t>
            </w:r>
            <w:r w:rsidR="000B2600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المكتب</w:t>
            </w:r>
            <w:proofErr w:type="gramEnd"/>
            <w:r w:rsidR="000B2600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الجامعي الحديث، الإسكندرية.</w:t>
            </w:r>
          </w:p>
          <w:p w:rsidR="000B2600" w:rsidRPr="004126BF" w:rsidRDefault="000B2600" w:rsidP="00D400FC">
            <w:pPr>
              <w:bidi/>
              <w:spacing w:line="27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0B2600" w:rsidP="005A690D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كتب </w:t>
            </w:r>
            <w:proofErr w:type="spell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للإطلاع</w:t>
            </w:r>
            <w:proofErr w:type="spellEnd"/>
          </w:p>
        </w:tc>
      </w:tr>
      <w:tr w:rsidR="00BA6B99" w:rsidRPr="004126BF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27" w:rsidRPr="004126BF" w:rsidRDefault="001E5477" w:rsidP="001E5477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</w:t>
            </w:r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معرفة </w:t>
            </w:r>
            <w:r w:rsidR="006A1573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الطالبة ل</w:t>
            </w:r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عملية التنمية كعملية تغير اجتماعي واقتصادي مخططة ومقصودة ترمي إلى نقل المجتمع من حالة التخلف إلى حالة أكثر </w:t>
            </w:r>
            <w:proofErr w:type="gramStart"/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تقدما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,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و</w:t>
            </w:r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التعرف على معوقات التنمية الاقتصادية والاجتماعية والمشكلات المصاحبة لها وكيفية التدخل لوضع الحلول المناسبة لها.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و</w:t>
            </w:r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اهتمام علم اجتماع التنمية بقضايا </w:t>
            </w:r>
            <w:proofErr w:type="gramStart"/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البيئة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,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و </w:t>
            </w:r>
            <w:r w:rsidR="00F1582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أثر عملية التنمية على البيئة في المجتمعات النامية.</w:t>
            </w:r>
          </w:p>
          <w:p w:rsidR="00BA6B99" w:rsidRPr="004126BF" w:rsidRDefault="00F15827" w:rsidP="001E5477">
            <w:pPr>
              <w:ind w:left="-228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</w:t>
            </w:r>
            <w:proofErr w:type="gramStart"/>
            <w:r w:rsidR="001E5477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و </w:t>
            </w: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اكتساب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 القدرة على دفع المشاركة المجتمعية في انجاز الأهداف التنموية والرقابة على تنفيذها.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4126BF" w:rsidRDefault="00BA6B99" w:rsidP="00BA6B9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مخرجات التعليم </w:t>
            </w:r>
          </w:p>
        </w:tc>
      </w:tr>
      <w:tr w:rsidR="00BA6B99" w:rsidRPr="004126BF" w:rsidTr="000B2600">
        <w:trPr>
          <w:cantSplit/>
          <w:trHeight w:val="4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4126BF" w:rsidRDefault="001E5477" w:rsidP="001E5477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المحاضرة,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المناقشة,  تعلم تعاوني, العصف الذهني.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99" w:rsidRPr="004126BF" w:rsidRDefault="00BA6B99" w:rsidP="00BA6B99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استراتيجيات التعليم</w:t>
            </w:r>
          </w:p>
        </w:tc>
      </w:tr>
    </w:tbl>
    <w:p w:rsidR="00853C77" w:rsidRPr="004126BF" w:rsidRDefault="00853C77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7B644B" w:rsidRPr="004126BF" w:rsidRDefault="007B644B" w:rsidP="000B2600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421"/>
        <w:gridCol w:w="2389"/>
      </w:tblGrid>
      <w:tr w:rsidR="000B2600" w:rsidRPr="004126BF" w:rsidTr="006F681F">
        <w:trPr>
          <w:cantSplit/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تاريخ التغذية الراجعة </w:t>
            </w:r>
          </w:p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(تزويد الطالبات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بالنتيجة)*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تاريخ التقييم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تقسيم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النوع</w:t>
            </w:r>
          </w:p>
        </w:tc>
      </w:tr>
      <w:tr w:rsidR="000B2600" w:rsidRPr="004126BF" w:rsidTr="006F681F">
        <w:trPr>
          <w:cantSplit/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600" w:rsidRPr="004126BF" w:rsidRDefault="00F221F2" w:rsidP="006A1573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الخميس 2/2/1440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F221F2" w:rsidP="006A1573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الخميس 24/1/1440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F221F2" w:rsidP="00C42212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25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الإختبار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الفصلي1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 </w:t>
            </w:r>
          </w:p>
        </w:tc>
      </w:tr>
      <w:tr w:rsidR="000B2600" w:rsidRPr="004126BF" w:rsidTr="006F681F">
        <w:trPr>
          <w:cantSplit/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600" w:rsidRPr="004126BF" w:rsidRDefault="00F221F2" w:rsidP="006A1573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الخميس 14/3/1440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F221F2" w:rsidP="006A1573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الخميس 7/3/1440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F221F2" w:rsidP="00C42212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25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600" w:rsidRPr="004126BF" w:rsidRDefault="00A94987" w:rsidP="006F681F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الاختبار الفصلي 2</w:t>
            </w:r>
            <w:r w:rsidR="000B2600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0B2600" w:rsidRPr="004126BF" w:rsidTr="006F681F">
        <w:trPr>
          <w:cantSplit/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600" w:rsidRPr="004126BF" w:rsidRDefault="00D744F8" w:rsidP="00D744F8">
            <w:pPr>
              <w:bidi/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الأسبوع التالي</w:t>
            </w:r>
            <w:r w:rsidR="00784D4F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للعرض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D744F8" w:rsidP="006A1573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10 درجات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D744F8" w:rsidP="00C42212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600" w:rsidRPr="004126BF" w:rsidRDefault="00D744F8" w:rsidP="006F681F">
            <w:pPr>
              <w:pStyle w:val="TableGrid1"/>
              <w:tabs>
                <w:tab w:val="left" w:pos="2300"/>
              </w:tabs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مجموعات عرض</w:t>
            </w:r>
            <w:r w:rsidR="00F221F2"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0B2600" w:rsidRPr="004126BF" w:rsidTr="006F681F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40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600" w:rsidRPr="004126BF" w:rsidRDefault="000B2600" w:rsidP="006F681F">
            <w:pPr>
              <w:pStyle w:val="TableGrid1"/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اختبار نهائي</w:t>
            </w:r>
          </w:p>
        </w:tc>
      </w:tr>
    </w:tbl>
    <w:p w:rsidR="00853C77" w:rsidRPr="004126BF" w:rsidRDefault="00853C77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D744F8" w:rsidRDefault="00D744F8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4126BF" w:rsidRPr="004126BF" w:rsidRDefault="004126BF" w:rsidP="004126BF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D744F8" w:rsidRPr="004126BF" w:rsidRDefault="00D744F8" w:rsidP="00D744F8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853C77" w:rsidRPr="004126BF" w:rsidRDefault="003F564D" w:rsidP="00D744F8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الخطة الأسبوعية:</w:t>
      </w:r>
    </w:p>
    <w:p w:rsidR="003F564D" w:rsidRPr="004126BF" w:rsidRDefault="003F564D" w:rsidP="003F564D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3F564D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126BF" w:rsidRDefault="003F564D" w:rsidP="00026F4A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الأسبوع</w:t>
            </w:r>
          </w:p>
        </w:tc>
      </w:tr>
      <w:tr w:rsidR="007C4912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912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التعريف بعلم اجتماع التنمية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912" w:rsidRPr="004126BF" w:rsidRDefault="007C4912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7C4912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912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المصطلحات الشائعة في علم اجتماع التنمية</w:t>
            </w:r>
          </w:p>
          <w:p w:rsidR="000C7F9A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اهتمامات علم اجتماع التنمية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912" w:rsidRPr="004126BF" w:rsidRDefault="007C4912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0B2600" w:rsidRPr="004126BF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F9A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الابعاد التاريخية لظهور علم اجتماع التنمية </w:t>
            </w:r>
            <w:proofErr w:type="gramStart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( الأسباب</w:t>
            </w:r>
            <w:proofErr w:type="gramEnd"/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والدوافع والتطور)</w:t>
            </w:r>
          </w:p>
          <w:p w:rsidR="000C7F9A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حداثة علم اجتماع التنمية</w:t>
            </w:r>
          </w:p>
          <w:p w:rsidR="000B2600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رواد نظريات علم اجتماع التنمية والانتقادات التي وجهت لهم</w:t>
            </w:r>
          </w:p>
          <w:p w:rsidR="000C7F9A" w:rsidRPr="004126BF" w:rsidRDefault="000C7F9A" w:rsidP="000C7F9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600" w:rsidRPr="004126BF" w:rsidRDefault="000B2600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6F5279" w:rsidP="006F681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  <w:r w:rsidR="00654BC1"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علم اجتماع التنمية والعلوم الاجتماعية </w:t>
            </w:r>
            <w:proofErr w:type="gramStart"/>
            <w:r w:rsidR="00654BC1"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( علم</w:t>
            </w:r>
            <w:proofErr w:type="gramEnd"/>
            <w:r w:rsidR="00654BC1"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الاقتصاد، السياسة، الجغرافيا)</w:t>
            </w:r>
          </w:p>
          <w:p w:rsidR="00654BC1" w:rsidRPr="004126BF" w:rsidRDefault="006F5279" w:rsidP="006F527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-علاقة البيئة بالحياة الاجتماعية وبعمليات التنمية على وجه الخصوص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6F527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6F5279" w:rsidP="00215E10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الاختبار الفصلي الأول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6F5279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6F5279" w:rsidP="000E3B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الاتجاهات الإيدلوجية لعلم اجتماع التنمية</w:t>
            </w:r>
          </w:p>
          <w:p w:rsidR="006F5279" w:rsidRPr="004126BF" w:rsidRDefault="006F5279" w:rsidP="000E3B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6</w:t>
            </w:r>
          </w:p>
        </w:tc>
      </w:tr>
      <w:tr w:rsidR="00215E10" w:rsidRPr="004126BF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6F5279" w:rsidP="00215E10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نظرية التحديث في علم اجتماع التنمية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7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215E10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رأس المال الاجتماعي والتنمية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</w:tr>
      <w:tr w:rsidR="00215E10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BB47C1" w:rsidP="00F86325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التغير الثقافي والتنمية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9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BB47C1" w:rsidP="00215E1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التغير الاجتماعي والتنمية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6F68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علم اجتماع التنمية ومشاكل التنمية بالعالم النامي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11</w:t>
            </w:r>
          </w:p>
        </w:tc>
      </w:tr>
      <w:tr w:rsidR="000E3BC7" w:rsidRPr="004126BF" w:rsidTr="00441176">
        <w:trPr>
          <w:cantSplit/>
          <w:trHeight w:val="413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BB47C1" w:rsidP="00BB47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الاختبار الفصلي الثاني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BB47C1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</w:tr>
      <w:tr w:rsidR="000E3BC7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6BF" w:rsidRPr="004126BF" w:rsidRDefault="004126BF" w:rsidP="00BB47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علم اجتماع التنمية ودوره في معالجة في قضايا التنمية </w:t>
            </w:r>
          </w:p>
          <w:p w:rsidR="000E3BC7" w:rsidRPr="004126BF" w:rsidRDefault="00BB47C1" w:rsidP="00BB47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تجارب دولية في التنمية (عروض الطالبات)</w:t>
            </w:r>
          </w:p>
          <w:p w:rsidR="00BB47C1" w:rsidRPr="004126BF" w:rsidRDefault="00BB47C1" w:rsidP="00BB47C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C7" w:rsidRPr="004126BF" w:rsidRDefault="000E3BC7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14</w:t>
            </w:r>
          </w:p>
        </w:tc>
      </w:tr>
      <w:tr w:rsidR="00215E10" w:rsidRPr="004126BF" w:rsidTr="00441176">
        <w:trPr>
          <w:cantSplit/>
          <w:trHeight w:val="440"/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151DB7" w:rsidP="00151DB7">
            <w:pPr>
              <w:tabs>
                <w:tab w:val="left" w:pos="2980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E10" w:rsidRPr="004126BF" w:rsidRDefault="00215E10" w:rsidP="003F564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126B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</w:rPr>
              <w:t>15</w:t>
            </w:r>
          </w:p>
        </w:tc>
      </w:tr>
    </w:tbl>
    <w:p w:rsidR="00853C77" w:rsidRPr="004126BF" w:rsidRDefault="00853C77" w:rsidP="00026F4A">
      <w:pPr>
        <w:pStyle w:val="FreeFormA"/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853C77" w:rsidRPr="004126BF" w:rsidRDefault="00853C77" w:rsidP="00026F4A">
      <w:pPr>
        <w:bidi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F86325" w:rsidRPr="004126BF" w:rsidRDefault="00F86325" w:rsidP="00F86325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  <w:rtl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  <w:rtl/>
        </w:rPr>
        <w:t>القـوانـيـن</w:t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:</w:t>
      </w:r>
    </w:p>
    <w:p w:rsidR="004126BF" w:rsidRPr="004126BF" w:rsidRDefault="00151DB7" w:rsidP="004126BF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الالتزام بمعايير التوثيق والبحث العلمي في إعداد </w:t>
      </w:r>
      <w:r w:rsidR="004126BF"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العروض</w:t>
      </w: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.</w:t>
      </w:r>
    </w:p>
    <w:p w:rsidR="00151DB7" w:rsidRPr="004126BF" w:rsidRDefault="00151DB7" w:rsidP="00151DB7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4126BF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>عدم استخدام الجوال أثناء المحاضرة.</w:t>
      </w:r>
    </w:p>
    <w:p w:rsidR="00151DB7" w:rsidRPr="004126BF" w:rsidRDefault="00151DB7" w:rsidP="00151DB7">
      <w:pPr>
        <w:autoSpaceDE w:val="0"/>
        <w:autoSpaceDN w:val="0"/>
        <w:bidi/>
        <w:adjustRightInd w:val="0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151DB7" w:rsidRPr="004126BF" w:rsidRDefault="00151DB7" w:rsidP="00151DB7">
      <w:pPr>
        <w:autoSpaceDE w:val="0"/>
        <w:autoSpaceDN w:val="0"/>
        <w:bidi/>
        <w:adjustRightInd w:val="0"/>
        <w:ind w:left="360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:rsidR="00F86325" w:rsidRPr="004126BF" w:rsidRDefault="00F86325" w:rsidP="00F86325">
      <w:pPr>
        <w:pStyle w:val="-11"/>
        <w:bidi/>
        <w:spacing w:before="100" w:beforeAutospacing="1" w:after="100" w:afterAutospacing="1" w:line="360" w:lineRule="auto"/>
        <w:ind w:left="1440"/>
        <w:rPr>
          <w:rFonts w:asciiTheme="majorBidi" w:hAnsiTheme="majorBidi" w:cstheme="majorBidi"/>
          <w:b/>
          <w:bCs/>
          <w:color w:val="000000" w:themeColor="text1"/>
          <w:u w:val="single"/>
          <w:lang w:bidi="ar-SA"/>
        </w:rPr>
      </w:pPr>
    </w:p>
    <w:p w:rsidR="004126BF" w:rsidRDefault="004126BF" w:rsidP="00F86325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u w:val="single"/>
        </w:rPr>
      </w:pPr>
    </w:p>
    <w:p w:rsidR="004126BF" w:rsidRPr="004126BF" w:rsidRDefault="004126BF" w:rsidP="004126BF">
      <w:pPr>
        <w:bidi/>
        <w:rPr>
          <w:rFonts w:asciiTheme="majorBidi" w:hAnsiTheme="majorBidi" w:cstheme="majorBidi"/>
          <w:sz w:val="22"/>
          <w:szCs w:val="22"/>
        </w:rPr>
      </w:pPr>
    </w:p>
    <w:p w:rsidR="004126BF" w:rsidRPr="004126BF" w:rsidRDefault="004126BF" w:rsidP="004126BF">
      <w:pPr>
        <w:bidi/>
        <w:rPr>
          <w:rFonts w:asciiTheme="majorBidi" w:hAnsiTheme="majorBidi" w:cstheme="majorBidi"/>
          <w:sz w:val="22"/>
          <w:szCs w:val="22"/>
        </w:rPr>
      </w:pPr>
    </w:p>
    <w:p w:rsidR="004126BF" w:rsidRPr="004126BF" w:rsidRDefault="004126BF" w:rsidP="004126BF">
      <w:pPr>
        <w:bidi/>
        <w:rPr>
          <w:rFonts w:asciiTheme="majorBidi" w:hAnsiTheme="majorBidi" w:cstheme="majorBidi"/>
          <w:sz w:val="22"/>
          <w:szCs w:val="22"/>
        </w:rPr>
      </w:pPr>
    </w:p>
    <w:p w:rsidR="004126BF" w:rsidRDefault="004126BF" w:rsidP="004126BF">
      <w:pPr>
        <w:bidi/>
        <w:rPr>
          <w:rFonts w:asciiTheme="majorBidi" w:hAnsiTheme="majorBidi" w:cstheme="majorBidi"/>
          <w:sz w:val="22"/>
          <w:szCs w:val="22"/>
        </w:rPr>
      </w:pPr>
    </w:p>
    <w:p w:rsidR="008E69A0" w:rsidRPr="004126BF" w:rsidRDefault="004126BF" w:rsidP="004126BF">
      <w:pPr>
        <w:tabs>
          <w:tab w:val="left" w:pos="6790"/>
        </w:tabs>
        <w:bidi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rtl/>
        </w:rPr>
        <w:tab/>
      </w:r>
    </w:p>
    <w:sectPr w:rsidR="008E69A0" w:rsidRPr="004126BF" w:rsidSect="00517B3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70" w:rsidRDefault="00352370">
      <w:r>
        <w:separator/>
      </w:r>
    </w:p>
  </w:endnote>
  <w:endnote w:type="continuationSeparator" w:id="0">
    <w:p w:rsidR="00352370" w:rsidRDefault="0035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1F" w:rsidRDefault="006F681F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1F" w:rsidRDefault="006F681F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70" w:rsidRDefault="00352370">
      <w:r>
        <w:separator/>
      </w:r>
    </w:p>
  </w:footnote>
  <w:footnote w:type="continuationSeparator" w:id="0">
    <w:p w:rsidR="00352370" w:rsidRDefault="0035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1F" w:rsidRDefault="006F681F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1F" w:rsidRDefault="006F681F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7A9"/>
    <w:multiLevelType w:val="hybridMultilevel"/>
    <w:tmpl w:val="9F7CBE98"/>
    <w:lvl w:ilvl="0" w:tplc="B6489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D29"/>
    <w:multiLevelType w:val="hybridMultilevel"/>
    <w:tmpl w:val="4670B2BC"/>
    <w:lvl w:ilvl="0" w:tplc="81BC885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7CC42F8B"/>
    <w:multiLevelType w:val="hybridMultilevel"/>
    <w:tmpl w:val="DF926122"/>
    <w:lvl w:ilvl="0" w:tplc="BD04B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="ヒラギノ角ゴ Pro W3" w:hAnsiTheme="minorBid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4096" w:nlCheck="1" w:checkStyle="0"/>
  <w:activeWritingStyle w:appName="MSWord" w:lang="ar-EG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B2"/>
    <w:rsid w:val="00003002"/>
    <w:rsid w:val="00026F4A"/>
    <w:rsid w:val="0003282E"/>
    <w:rsid w:val="00054C66"/>
    <w:rsid w:val="000A2DE8"/>
    <w:rsid w:val="000A41C4"/>
    <w:rsid w:val="000B2600"/>
    <w:rsid w:val="000B448C"/>
    <w:rsid w:val="000C7F9A"/>
    <w:rsid w:val="000E3BC7"/>
    <w:rsid w:val="00146145"/>
    <w:rsid w:val="00151DB7"/>
    <w:rsid w:val="00156FB4"/>
    <w:rsid w:val="001606C9"/>
    <w:rsid w:val="001615DC"/>
    <w:rsid w:val="00167716"/>
    <w:rsid w:val="00176E24"/>
    <w:rsid w:val="00183F69"/>
    <w:rsid w:val="001879B6"/>
    <w:rsid w:val="001A63DB"/>
    <w:rsid w:val="001E5477"/>
    <w:rsid w:val="00215E10"/>
    <w:rsid w:val="00262961"/>
    <w:rsid w:val="00352370"/>
    <w:rsid w:val="00380D8B"/>
    <w:rsid w:val="003E7426"/>
    <w:rsid w:val="003F564D"/>
    <w:rsid w:val="004126BF"/>
    <w:rsid w:val="00421D1E"/>
    <w:rsid w:val="00441176"/>
    <w:rsid w:val="00477E53"/>
    <w:rsid w:val="00511B24"/>
    <w:rsid w:val="00517B3F"/>
    <w:rsid w:val="00524EA4"/>
    <w:rsid w:val="005353B9"/>
    <w:rsid w:val="00547203"/>
    <w:rsid w:val="00566AF3"/>
    <w:rsid w:val="005A481C"/>
    <w:rsid w:val="005A690D"/>
    <w:rsid w:val="006061E7"/>
    <w:rsid w:val="00654BC1"/>
    <w:rsid w:val="006A1573"/>
    <w:rsid w:val="006B7C05"/>
    <w:rsid w:val="006F0D1F"/>
    <w:rsid w:val="006F5279"/>
    <w:rsid w:val="006F681F"/>
    <w:rsid w:val="00784D4F"/>
    <w:rsid w:val="007B644B"/>
    <w:rsid w:val="007C4912"/>
    <w:rsid w:val="007E320D"/>
    <w:rsid w:val="007F2722"/>
    <w:rsid w:val="00805E88"/>
    <w:rsid w:val="00836C1F"/>
    <w:rsid w:val="00853C77"/>
    <w:rsid w:val="00874559"/>
    <w:rsid w:val="008841AE"/>
    <w:rsid w:val="008E69A0"/>
    <w:rsid w:val="00955F5D"/>
    <w:rsid w:val="00A301B8"/>
    <w:rsid w:val="00A75A9D"/>
    <w:rsid w:val="00A87D55"/>
    <w:rsid w:val="00A94987"/>
    <w:rsid w:val="00AB1982"/>
    <w:rsid w:val="00AF6E98"/>
    <w:rsid w:val="00B42097"/>
    <w:rsid w:val="00B63A1D"/>
    <w:rsid w:val="00BA6B99"/>
    <w:rsid w:val="00BB47C1"/>
    <w:rsid w:val="00BE67CE"/>
    <w:rsid w:val="00BF720F"/>
    <w:rsid w:val="00C02411"/>
    <w:rsid w:val="00C15B49"/>
    <w:rsid w:val="00C24FD8"/>
    <w:rsid w:val="00C42212"/>
    <w:rsid w:val="00CE52F4"/>
    <w:rsid w:val="00CE5BAA"/>
    <w:rsid w:val="00D158BC"/>
    <w:rsid w:val="00D36A0A"/>
    <w:rsid w:val="00D400FC"/>
    <w:rsid w:val="00D744F8"/>
    <w:rsid w:val="00DB0AB2"/>
    <w:rsid w:val="00DB4A9C"/>
    <w:rsid w:val="00DC490B"/>
    <w:rsid w:val="00E366D5"/>
    <w:rsid w:val="00E46FBF"/>
    <w:rsid w:val="00E47E8A"/>
    <w:rsid w:val="00E62AA6"/>
    <w:rsid w:val="00E71639"/>
    <w:rsid w:val="00E77DB9"/>
    <w:rsid w:val="00EA40D0"/>
    <w:rsid w:val="00EF31B4"/>
    <w:rsid w:val="00F143B2"/>
    <w:rsid w:val="00F15827"/>
    <w:rsid w:val="00F221F2"/>
    <w:rsid w:val="00F86325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7D84E06"/>
  <w15:docId w15:val="{F149B1CF-AF2D-46A0-BFD7-9E2D493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7B3F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517B3F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517B3F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517B3F"/>
    <w:rPr>
      <w:rFonts w:eastAsia="ヒラギノ角ゴ Pro W3"/>
      <w:color w:val="000000"/>
    </w:rPr>
  </w:style>
  <w:style w:type="paragraph" w:customStyle="1" w:styleId="FreeFormB">
    <w:name w:val="Free Form B"/>
    <w:rsid w:val="00517B3F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locked/>
    <w:rsid w:val="00F15827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auto"/>
    </w:rPr>
  </w:style>
  <w:style w:type="character" w:customStyle="1" w:styleId="Char">
    <w:name w:val="رأس الصفحة Char"/>
    <w:basedOn w:val="a0"/>
    <w:link w:val="a3"/>
    <w:rsid w:val="00F15827"/>
    <w:rPr>
      <w:sz w:val="24"/>
      <w:szCs w:val="24"/>
    </w:rPr>
  </w:style>
  <w:style w:type="paragraph" w:styleId="a4">
    <w:name w:val="List Paragraph"/>
    <w:basedOn w:val="a"/>
    <w:uiPriority w:val="34"/>
    <w:qFormat/>
    <w:rsid w:val="008E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FB2F2-B7E3-4305-A131-AD5DBDF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Tota</cp:lastModifiedBy>
  <cp:revision>5</cp:revision>
  <cp:lastPrinted>2017-02-14T05:00:00Z</cp:lastPrinted>
  <dcterms:created xsi:type="dcterms:W3CDTF">2018-09-08T17:26:00Z</dcterms:created>
  <dcterms:modified xsi:type="dcterms:W3CDTF">2018-09-08T18:26:00Z</dcterms:modified>
</cp:coreProperties>
</file>