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4"/>
        <w:tblW w:w="0" w:type="auto"/>
        <w:tblLook w:val="04A0"/>
      </w:tblPr>
      <w:tblGrid>
        <w:gridCol w:w="9576"/>
      </w:tblGrid>
      <w:tr w:rsidR="0029564D" w:rsidTr="0029564D">
        <w:trPr>
          <w:cnfStyle w:val="100000000000"/>
        </w:trPr>
        <w:tc>
          <w:tcPr>
            <w:cnfStyle w:val="001000000000"/>
            <w:tcW w:w="9576" w:type="dxa"/>
          </w:tcPr>
          <w:p w:rsidR="0029564D" w:rsidRPr="00123A0E" w:rsidRDefault="00B122F7" w:rsidP="00123A0E">
            <w:pPr>
              <w:ind w:left="360"/>
            </w:pPr>
            <w:r>
              <w:t>Math 373: Sheet #1</w:t>
            </w:r>
          </w:p>
        </w:tc>
      </w:tr>
    </w:tbl>
    <w:p w:rsidR="0029564D" w:rsidRDefault="0029564D" w:rsidP="0029564D"/>
    <w:p w:rsidR="00CE7220" w:rsidRDefault="00CE7220" w:rsidP="00B122F7">
      <w:pPr>
        <w:pStyle w:val="ListParagraph"/>
        <w:numPr>
          <w:ilvl w:val="0"/>
          <w:numId w:val="1"/>
        </w:numPr>
      </w:pPr>
      <w:r>
        <w:t xml:space="preserve">Let </w:t>
      </w:r>
      <m:oMath>
        <m:r>
          <w:rPr>
            <w:rFonts w:ascii="Cambria Math" w:hAnsi="Cambria Math"/>
          </w:rPr>
          <m:t>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r>
          <w:rPr>
            <w:rFonts w:ascii="Cambria Math" w:hAnsi="Cambria Math"/>
          </w:rPr>
          <m:t>:αϵ</m:t>
        </m:r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}</m:t>
        </m:r>
      </m:oMath>
      <w:r w:rsidR="00B122F7">
        <w:rPr>
          <w:rFonts w:eastAsiaTheme="minorEastAsia"/>
        </w:rPr>
        <w:t xml:space="preserve"> be any collection of topologies on a </w:t>
      </w:r>
      <w:proofErr w:type="gramStart"/>
      <w:r w:rsidR="00B122F7">
        <w:rPr>
          <w:rFonts w:eastAsiaTheme="minorEastAsia"/>
        </w:rPr>
        <w:t xml:space="preserve">set </w:t>
      </w:r>
      <m:oMath>
        <w:proofErr w:type="gramEnd"/>
        <m:r>
          <w:rPr>
            <w:rFonts w:ascii="Cambria Math" w:eastAsiaTheme="minorEastAsia" w:hAnsi="Cambria Math"/>
          </w:rPr>
          <m:t>X</m:t>
        </m:r>
      </m:oMath>
      <w:r w:rsidR="00B122F7">
        <w:rPr>
          <w:rFonts w:eastAsiaTheme="minorEastAsia"/>
        </w:rPr>
        <w:t xml:space="preserve">. Prove </w:t>
      </w:r>
      <m:oMath>
        <m:nary>
          <m:naryPr>
            <m:chr m:val="⋂"/>
            <m:limLoc m:val="undOvr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α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α</m:t>
                </m:r>
              </m:sub>
            </m:sSub>
          </m:e>
        </m:nary>
      </m:oMath>
      <w:r w:rsidR="00B122F7">
        <w:rPr>
          <w:rFonts w:eastAsiaTheme="minorEastAsia"/>
        </w:rPr>
        <w:t xml:space="preserve"> is a topology </w:t>
      </w:r>
      <w:proofErr w:type="gramStart"/>
      <w:r w:rsidR="00B122F7">
        <w:rPr>
          <w:rFonts w:eastAsiaTheme="minorEastAsia"/>
        </w:rPr>
        <w:t xml:space="preserve">on </w:t>
      </w:r>
      <m:oMath>
        <w:proofErr w:type="gramEnd"/>
        <m:r>
          <w:rPr>
            <w:rFonts w:ascii="Cambria Math" w:eastAsiaTheme="minorEastAsia" w:hAnsi="Cambria Math"/>
          </w:rPr>
          <m:t>X</m:t>
        </m:r>
      </m:oMath>
      <w:r w:rsidR="00B122F7">
        <w:rPr>
          <w:rFonts w:eastAsiaTheme="minorEastAsia"/>
        </w:rPr>
        <w:t xml:space="preserve">. </w:t>
      </w:r>
    </w:p>
    <w:p w:rsidR="009559B9" w:rsidRPr="0094291E" w:rsidRDefault="009559B9" w:rsidP="009559B9">
      <w:pPr>
        <w:pStyle w:val="NoSpacing"/>
        <w:numPr>
          <w:ilvl w:val="0"/>
          <w:numId w:val="1"/>
        </w:numPr>
        <w:rPr>
          <w:rFonts w:eastAsiaTheme="minorEastAsia"/>
          <w:sz w:val="24"/>
          <w:szCs w:val="24"/>
        </w:rPr>
      </w:pPr>
      <w:proofErr w:type="gramStart"/>
      <w:r w:rsidRPr="0094291E">
        <w:rPr>
          <w:sz w:val="24"/>
          <w:szCs w:val="24"/>
        </w:rPr>
        <w:t xml:space="preserve">Let </w:t>
      </w:r>
      <m:oMath>
        <w:proofErr w:type="gramEnd"/>
        <m:r>
          <w:rPr>
            <w:rFonts w:ascii="Cambria Math" w:hAnsi="Cambria Math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=N</m:t>
        </m:r>
      </m:oMath>
      <w:r w:rsidRPr="0094291E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 xml:space="preserve">Let </w:t>
      </w:r>
      <w:r w:rsidRPr="0094291E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τ</m:t>
        </m:r>
      </m:oMath>
      <w:r w:rsidRPr="0094291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be the collection of </w:t>
      </w:r>
      <w:r w:rsidRPr="0094291E">
        <w:rPr>
          <w:rFonts w:eastAsiaTheme="minorEastAsia"/>
          <w:sz w:val="24"/>
          <w:szCs w:val="24"/>
        </w:rPr>
        <w:t xml:space="preserve">subsets of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consisting of </w:t>
      </w:r>
      <m:oMath>
        <m:r>
          <w:rPr>
            <w:rFonts w:ascii="Cambria Math" w:eastAsiaTheme="minorEastAsia" w:hAnsi="Cambria Math"/>
            <w:sz w:val="24"/>
            <w:szCs w:val="24"/>
          </w:rPr>
          <m:t>∅</m:t>
        </m:r>
      </m:oMath>
      <w:r w:rsidRPr="0094291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and all subsets of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with the </w:t>
      </w:r>
      <w:proofErr w:type="gramStart"/>
      <w:r>
        <w:rPr>
          <w:rFonts w:eastAsiaTheme="minorEastAsia"/>
          <w:sz w:val="24"/>
          <w:szCs w:val="24"/>
        </w:rPr>
        <w:t>form</w:t>
      </w:r>
      <w:r w:rsidRPr="0094291E">
        <w:rPr>
          <w:rFonts w:eastAsiaTheme="minorEastAsia"/>
          <w:sz w:val="24"/>
          <w:szCs w:val="24"/>
        </w:rPr>
        <w:t xml:space="preserve">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n,n+1,n+2,…</m:t>
            </m:r>
          </m:e>
        </m:d>
      </m:oMath>
      <w:r>
        <w:rPr>
          <w:rFonts w:eastAsiaTheme="minorEastAsia"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∈N</m:t>
        </m:r>
      </m:oMath>
      <w:r w:rsidRPr="0094291E">
        <w:rPr>
          <w:rFonts w:eastAsiaTheme="minorEastAsia"/>
          <w:sz w:val="24"/>
          <w:szCs w:val="24"/>
        </w:rPr>
        <w:t xml:space="preserve">. </w:t>
      </w:r>
    </w:p>
    <w:p w:rsidR="009559B9" w:rsidRPr="0094291E" w:rsidRDefault="009559B9" w:rsidP="009559B9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94291E">
        <w:rPr>
          <w:sz w:val="24"/>
          <w:szCs w:val="24"/>
        </w:rPr>
        <w:t xml:space="preserve">Prove that </w:t>
      </w:r>
      <m:oMath>
        <m:r>
          <w:rPr>
            <w:rFonts w:ascii="Cambria Math" w:hAnsi="Cambria Math"/>
            <w:sz w:val="24"/>
            <w:szCs w:val="24"/>
          </w:rPr>
          <m:t>τ</m:t>
        </m:r>
      </m:oMath>
      <w:r w:rsidRPr="0094291E">
        <w:rPr>
          <w:rFonts w:eastAsiaTheme="minorEastAsia"/>
          <w:sz w:val="24"/>
          <w:szCs w:val="24"/>
        </w:rPr>
        <w:t xml:space="preserve"> is a topology </w:t>
      </w:r>
      <w:proofErr w:type="gramStart"/>
      <w:r w:rsidRPr="0094291E">
        <w:rPr>
          <w:rFonts w:eastAsiaTheme="minorEastAsia"/>
          <w:sz w:val="24"/>
          <w:szCs w:val="24"/>
        </w:rPr>
        <w:t xml:space="preserve">on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94291E">
        <w:rPr>
          <w:rFonts w:eastAsiaTheme="minorEastAsia"/>
          <w:sz w:val="24"/>
          <w:szCs w:val="24"/>
        </w:rPr>
        <w:t>.</w:t>
      </w:r>
    </w:p>
    <w:p w:rsidR="009559B9" w:rsidRPr="0094291E" w:rsidRDefault="009559B9" w:rsidP="009559B9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94291E">
        <w:rPr>
          <w:rFonts w:eastAsiaTheme="minorEastAsia"/>
          <w:sz w:val="24"/>
          <w:szCs w:val="24"/>
        </w:rPr>
        <w:t xml:space="preserve">List the closed subsets </w:t>
      </w:r>
      <w:proofErr w:type="gramStart"/>
      <w:r w:rsidRPr="0094291E">
        <w:rPr>
          <w:rFonts w:eastAsiaTheme="minorEastAsia"/>
          <w:sz w:val="24"/>
          <w:szCs w:val="24"/>
        </w:rPr>
        <w:t xml:space="preserve">of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94291E">
        <w:rPr>
          <w:rFonts w:eastAsiaTheme="minorEastAsia"/>
          <w:sz w:val="24"/>
          <w:szCs w:val="24"/>
        </w:rPr>
        <w:t xml:space="preserve">.  </w:t>
      </w:r>
    </w:p>
    <w:p w:rsidR="009559B9" w:rsidRPr="00A902FD" w:rsidRDefault="009559B9" w:rsidP="009559B9">
      <w:pPr>
        <w:pStyle w:val="NoSpacing"/>
        <w:numPr>
          <w:ilvl w:val="0"/>
          <w:numId w:val="9"/>
        </w:numPr>
        <w:rPr>
          <w:sz w:val="24"/>
          <w:szCs w:val="24"/>
        </w:rPr>
      </w:pPr>
      <w:proofErr w:type="gramStart"/>
      <w:r w:rsidRPr="0094291E">
        <w:rPr>
          <w:rFonts w:eastAsiaTheme="minorEastAsia"/>
          <w:sz w:val="24"/>
          <w:szCs w:val="24"/>
        </w:rPr>
        <w:t xml:space="preserve">Let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5,7,50</m:t>
            </m:r>
          </m:e>
        </m:d>
      </m:oMath>
      <w:r w:rsidRPr="0094291E">
        <w:rPr>
          <w:rFonts w:eastAsiaTheme="minorEastAsia"/>
          <w:sz w:val="24"/>
          <w:szCs w:val="24"/>
        </w:rPr>
        <w:t xml:space="preserve">, find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</m:oMath>
      <w:r w:rsidRPr="0094291E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Int(A)</m:t>
        </m:r>
      </m:oMath>
      <w:r w:rsidRPr="0094291E">
        <w:rPr>
          <w:rFonts w:eastAsiaTheme="minorEastAsia"/>
          <w:sz w:val="24"/>
          <w:szCs w:val="24"/>
        </w:rPr>
        <w:t xml:space="preserve">, and </w:t>
      </w:r>
      <m:oMath>
        <m:r>
          <w:rPr>
            <w:rFonts w:ascii="Cambria Math" w:eastAsiaTheme="minorEastAsia" w:hAnsi="Cambria Math"/>
            <w:sz w:val="24"/>
            <w:szCs w:val="24"/>
          </w:rPr>
          <m:t>Bd(A)</m:t>
        </m:r>
      </m:oMath>
      <w:r w:rsidRPr="0094291E">
        <w:rPr>
          <w:rFonts w:eastAsiaTheme="minorEastAsia"/>
          <w:sz w:val="24"/>
          <w:szCs w:val="24"/>
        </w:rPr>
        <w:t xml:space="preserve">. </w:t>
      </w:r>
      <w:r w:rsidRPr="0094291E">
        <w:rPr>
          <w:rFonts w:eastAsiaTheme="minorEastAsia"/>
          <w:b/>
          <w:bCs/>
          <w:sz w:val="24"/>
          <w:szCs w:val="24"/>
        </w:rPr>
        <w:t>JUSTEFY YOUR ANSWER</w:t>
      </w:r>
    </w:p>
    <w:p w:rsidR="006E6D54" w:rsidRPr="001A0C81" w:rsidRDefault="0029564D" w:rsidP="009559B9">
      <w:pPr>
        <w:pStyle w:val="ListParagraph"/>
        <w:numPr>
          <w:ilvl w:val="0"/>
          <w:numId w:val="1"/>
        </w:numPr>
      </w:pPr>
      <w:r>
        <w:t xml:space="preserve">Let </w:t>
      </w:r>
      <m:oMath>
        <m:r>
          <w:rPr>
            <w:rFonts w:ascii="Cambria Math" w:hAnsi="Cambria Math"/>
          </w:rPr>
          <m:t>(X,τ)</m:t>
        </m:r>
      </m:oMath>
      <w:r w:rsidRPr="009559B9">
        <w:rPr>
          <w:rFonts w:eastAsiaTheme="minorEastAsia"/>
        </w:rPr>
        <w:t xml:space="preserve"> be topological space such that there exists a countable bases </w:t>
      </w:r>
      <m:oMath>
        <m:r>
          <m:rPr>
            <m:scr m:val="fraktur"/>
          </m:rPr>
          <w:rPr>
            <w:rFonts w:ascii="Cambria Math" w:eastAsiaTheme="minorEastAsia" w:hAnsi="Cambria Math"/>
          </w:rPr>
          <m:t>B</m:t>
        </m:r>
      </m:oMath>
      <w:r w:rsidRPr="009559B9">
        <w:rPr>
          <w:rFonts w:eastAsiaTheme="minorEastAsia"/>
        </w:rPr>
        <w:t xml:space="preserve"> </w:t>
      </w:r>
      <w:proofErr w:type="gramStart"/>
      <w:r w:rsidRPr="009559B9">
        <w:rPr>
          <w:rFonts w:eastAsiaTheme="minorEastAsia"/>
        </w:rPr>
        <w:t xml:space="preserve">for </w:t>
      </w:r>
      <m:oMath>
        <w:proofErr w:type="gramEnd"/>
        <m:r>
          <w:rPr>
            <w:rFonts w:ascii="Cambria Math" w:eastAsiaTheme="minorEastAsia" w:hAnsi="Cambria Math"/>
          </w:rPr>
          <m:t>τ</m:t>
        </m:r>
      </m:oMath>
      <w:r w:rsidRPr="009559B9">
        <w:rPr>
          <w:rFonts w:eastAsiaTheme="minorEastAsia"/>
        </w:rPr>
        <w:t xml:space="preserve">. Prove there exists a countable dense subset </w:t>
      </w:r>
      <w:proofErr w:type="gramStart"/>
      <w:r w:rsidRPr="009559B9">
        <w:rPr>
          <w:rFonts w:eastAsiaTheme="minorEastAsia"/>
        </w:rPr>
        <w:t xml:space="preserve">of </w:t>
      </w:r>
      <m:oMath>
        <w:proofErr w:type="gramEnd"/>
        <m:r>
          <w:rPr>
            <w:rFonts w:ascii="Cambria Math" w:eastAsiaTheme="minorEastAsia" w:hAnsi="Cambria Math"/>
          </w:rPr>
          <m:t>X</m:t>
        </m:r>
      </m:oMath>
      <w:r w:rsidRPr="009559B9">
        <w:rPr>
          <w:rFonts w:eastAsiaTheme="minorEastAsia"/>
        </w:rPr>
        <w:t xml:space="preserve">. Show that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 w:rsidRPr="009559B9">
        <w:rPr>
          <w:rFonts w:eastAsiaTheme="minorEastAsia"/>
        </w:rPr>
        <w:t xml:space="preserve"> with Co-finite topology does not have a countable base.</w:t>
      </w:r>
    </w:p>
    <w:p w:rsidR="006F5C44" w:rsidRPr="00863DFC" w:rsidRDefault="006F5C44" w:rsidP="001A0C8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Prove the following” Let  </w:t>
      </w:r>
      <m:oMath>
        <m:r>
          <w:rPr>
            <w:rFonts w:ascii="Cambria Math" w:hAnsi="Cambria Math"/>
          </w:rPr>
          <m:t>f:(X,ζ)→(Y,</m:t>
        </m:r>
        <m:r>
          <m:rPr>
            <m:sty m:val="p"/>
          </m:rPr>
          <w:rPr>
            <w:rFonts w:ascii="Cambria Math" w:hAnsi="Cambria Math"/>
          </w:rPr>
          <m:t>η)</m:t>
        </m:r>
      </m:oMath>
      <w:r>
        <w:rPr>
          <w:rFonts w:eastAsiaTheme="minorEastAsia"/>
        </w:rPr>
        <w:t xml:space="preserve"> be open and onto function, and let </w:t>
      </w:r>
      <m:oMath>
        <m:r>
          <m:rPr>
            <m:scr m:val="script"/>
          </m:rPr>
          <w:rPr>
            <w:rFonts w:ascii="Cambria Math" w:eastAsiaTheme="minorEastAsia" w:hAnsi="Cambria Math"/>
          </w:rPr>
          <m:t>B</m:t>
        </m:r>
      </m:oMath>
      <w:r w:rsidR="00295FB3">
        <w:rPr>
          <w:rFonts w:eastAsiaTheme="minorEastAsia"/>
        </w:rPr>
        <w:t xml:space="preserve"> be a base </w:t>
      </w:r>
      <w:proofErr w:type="gramStart"/>
      <w:r w:rsidR="00295FB3">
        <w:rPr>
          <w:rFonts w:eastAsiaTheme="minorEastAsia"/>
        </w:rPr>
        <w:t xml:space="preserve">for </w:t>
      </w:r>
      <m:oMath>
        <w:proofErr w:type="gramEnd"/>
        <m:r>
          <w:rPr>
            <w:rFonts w:ascii="Cambria Math" w:eastAsiaTheme="minorEastAsia" w:hAnsi="Cambria Math"/>
          </w:rPr>
          <m:t>ζ</m:t>
        </m:r>
      </m:oMath>
      <w:r w:rsidR="00295FB3">
        <w:rPr>
          <w:rFonts w:eastAsiaTheme="minorEastAsia"/>
        </w:rPr>
        <w:t>. Then</w:t>
      </w:r>
      <w:r w:rsidR="00123A0E">
        <w:rPr>
          <w:rFonts w:eastAsiaTheme="minorEastAsia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d>
            <m:r>
              <w:rPr>
                <w:rFonts w:ascii="Cambria Math" w:eastAsiaTheme="minorEastAsia" w:hAnsi="Cambria Math"/>
              </w:rPr>
              <m:t>:B</m:t>
            </m:r>
            <m:r>
              <m:rPr>
                <m:scr m:val="script"/>
              </m:rPr>
              <w:rPr>
                <w:rFonts w:ascii="Cambria Math" w:eastAsiaTheme="minorEastAsia" w:hAnsi="Cambria Math"/>
              </w:rPr>
              <m:t>∈B</m:t>
            </m:r>
          </m:e>
        </m:d>
      </m:oMath>
      <w:r w:rsidR="00295FB3">
        <w:rPr>
          <w:rFonts w:eastAsiaTheme="minorEastAsia"/>
        </w:rPr>
        <w:t xml:space="preserve"> is a base </w:t>
      </w:r>
      <w:proofErr w:type="gramStart"/>
      <w:r w:rsidR="00295FB3">
        <w:rPr>
          <w:rFonts w:eastAsiaTheme="minorEastAsia"/>
        </w:rPr>
        <w:t xml:space="preserve">for </w:t>
      </w:r>
      <m:oMath>
        <w:proofErr w:type="gramEnd"/>
        <m:r>
          <w:rPr>
            <w:rFonts w:ascii="Cambria Math" w:eastAsiaTheme="minorEastAsia" w:hAnsi="Cambria Math"/>
          </w:rPr>
          <m:t>η</m:t>
        </m:r>
      </m:oMath>
      <w:r w:rsidR="00295FB3">
        <w:rPr>
          <w:rFonts w:eastAsiaTheme="minorEastAsia"/>
        </w:rPr>
        <w:t>.</w:t>
      </w:r>
    </w:p>
    <w:p w:rsidR="00863DFC" w:rsidRPr="00863DFC" w:rsidRDefault="00863DFC" w:rsidP="00863DFC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are subsets of the </w:t>
      </w:r>
      <w:proofErr w:type="gramStart"/>
      <w:r>
        <w:rPr>
          <w:rFonts w:eastAsiaTheme="minorEastAsia"/>
        </w:rPr>
        <w:t xml:space="preserve">space </w:t>
      </w:r>
      <m:oMath>
        <w:proofErr w:type="gramEnd"/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.</w:t>
      </w:r>
    </w:p>
    <w:p w:rsidR="00863DFC" w:rsidRPr="00863DFC" w:rsidRDefault="00863DFC" w:rsidP="00863DFC">
      <w:pPr>
        <w:pStyle w:val="ListParagraph"/>
        <w:numPr>
          <w:ilvl w:val="0"/>
          <w:numId w:val="11"/>
        </w:numPr>
      </w:pPr>
      <w:r>
        <w:t xml:space="preserve">Prove </w:t>
      </w:r>
      <w:proofErr w:type="gramStart"/>
      <w:r>
        <w:t xml:space="preserve">that 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A∪B</m:t>
                </m:r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=A'∪B'</m:t>
        </m:r>
      </m:oMath>
      <w:r>
        <w:rPr>
          <w:rFonts w:eastAsiaTheme="minorEastAsia"/>
        </w:rPr>
        <w:t>.</w:t>
      </w:r>
    </w:p>
    <w:p w:rsidR="00863DFC" w:rsidRPr="00393EEF" w:rsidRDefault="00863DFC" w:rsidP="00393EEF">
      <w:pPr>
        <w:pStyle w:val="ListParagraph"/>
        <w:numPr>
          <w:ilvl w:val="0"/>
          <w:numId w:val="11"/>
        </w:numPr>
      </w:pPr>
      <w:r>
        <w:rPr>
          <w:rFonts w:eastAsiaTheme="minorEastAsia"/>
        </w:rPr>
        <w:t xml:space="preserve">Give an example </w:t>
      </w:r>
      <w:r w:rsidR="00393EEF">
        <w:rPr>
          <w:rFonts w:eastAsiaTheme="minorEastAsia"/>
        </w:rPr>
        <w:t xml:space="preserve">to show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A∩B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≠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∩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.</m:t>
        </m:r>
      </m:oMath>
    </w:p>
    <w:p w:rsidR="00393EEF" w:rsidRPr="00393EEF" w:rsidRDefault="00393EEF" w:rsidP="00393EEF">
      <w:pPr>
        <w:pStyle w:val="ListParagraph"/>
        <w:ind w:left="1080"/>
      </w:pPr>
    </w:p>
    <w:p w:rsidR="00393EEF" w:rsidRPr="00393EEF" w:rsidRDefault="00393EEF" w:rsidP="00393EEF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Let </w:t>
      </w:r>
      <w:r w:rsidRPr="00393EE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</m:t>
        </m:r>
      </m:oMath>
      <w:r w:rsidRPr="00393EEF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be </w:t>
      </w:r>
      <w:r w:rsidRPr="00393EEF">
        <w:rPr>
          <w:rFonts w:eastAsiaTheme="minorEastAsia"/>
        </w:rPr>
        <w:t xml:space="preserve"> subsets</w:t>
      </w:r>
      <w:proofErr w:type="gramEnd"/>
      <w:r w:rsidRPr="00393EEF">
        <w:rPr>
          <w:rFonts w:eastAsiaTheme="minorEastAsia"/>
        </w:rPr>
        <w:t xml:space="preserve"> of the space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.</w:t>
      </w:r>
    </w:p>
    <w:p w:rsidR="00393EEF" w:rsidRPr="00393EEF" w:rsidRDefault="00393EEF" w:rsidP="00393EEF">
      <w:pPr>
        <w:pStyle w:val="ListParagraph"/>
        <w:numPr>
          <w:ilvl w:val="0"/>
          <w:numId w:val="12"/>
        </w:numPr>
      </w:pPr>
      <w:r>
        <w:t xml:space="preserve">Prove </w:t>
      </w:r>
      <w:proofErr w:type="gramStart"/>
      <w:r>
        <w:t xml:space="preserve">that </w:t>
      </w:r>
      <m:oMath>
        <w:proofErr w:type="gramEnd"/>
        <m:r>
          <w:rPr>
            <w:rFonts w:ascii="Cambria Math" w:hAnsi="Cambria Math"/>
          </w:rPr>
          <m:t>Bd(A∪B)⊆Bd(A)∪Bd(B)</m:t>
        </m:r>
      </m:oMath>
      <w:r>
        <w:rPr>
          <w:rFonts w:eastAsiaTheme="minorEastAsia"/>
        </w:rPr>
        <w:t>.</w:t>
      </w:r>
    </w:p>
    <w:p w:rsidR="00393EEF" w:rsidRPr="00863DFC" w:rsidRDefault="00393EEF" w:rsidP="00393EEF">
      <w:pPr>
        <w:pStyle w:val="ListParagraph"/>
        <w:numPr>
          <w:ilvl w:val="0"/>
          <w:numId w:val="12"/>
        </w:numPr>
      </w:pPr>
      <w:r>
        <w:rPr>
          <w:rFonts w:eastAsiaTheme="minorEastAsia"/>
        </w:rPr>
        <w:t>Give an example to show the reverse inclusion in part (i) need not hold.</w:t>
      </w:r>
    </w:p>
    <w:p w:rsidR="00393EEF" w:rsidRPr="00ED7CED" w:rsidRDefault="00393EEF" w:rsidP="00393EEF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Let </w:t>
      </w:r>
      <w:r w:rsidRPr="00393EE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</m:t>
        </m:r>
      </m:oMath>
      <w:r w:rsidRPr="00393EEF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be </w:t>
      </w:r>
      <w:r w:rsidRPr="00393EEF">
        <w:rPr>
          <w:rFonts w:eastAsiaTheme="minorEastAsia"/>
        </w:rPr>
        <w:t xml:space="preserve"> subsets</w:t>
      </w:r>
      <w:proofErr w:type="gramEnd"/>
      <w:r w:rsidRPr="00393EEF">
        <w:rPr>
          <w:rFonts w:eastAsiaTheme="minorEastAsia"/>
        </w:rPr>
        <w:t xml:space="preserve"> of the space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, and suppose </w:t>
      </w:r>
      <m:oMath>
        <m:r>
          <w:rPr>
            <w:rFonts w:ascii="Cambria Math" w:eastAsiaTheme="minorEastAsia" w:hAnsi="Cambria Math"/>
          </w:rPr>
          <m:t>Bd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∩Bd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>=∅</m:t>
        </m:r>
      </m:oMath>
      <w:r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 xml:space="preserve">Prove </w:t>
      </w:r>
      <m:oMath>
        <w:proofErr w:type="gramEnd"/>
        <m:r>
          <w:rPr>
            <w:rFonts w:ascii="Cambria Math" w:eastAsiaTheme="minorEastAsia" w:hAnsi="Cambria Math"/>
          </w:rPr>
          <m:t>Int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A∪B</m:t>
            </m:r>
          </m:e>
        </m:d>
        <m:r>
          <w:rPr>
            <w:rFonts w:ascii="Cambria Math" w:eastAsiaTheme="minorEastAsia" w:hAnsi="Cambria Math"/>
          </w:rPr>
          <m:t>=Int(A)∪Int(B)</m:t>
        </m:r>
      </m:oMath>
      <w:r>
        <w:rPr>
          <w:rFonts w:eastAsiaTheme="minorEastAsia"/>
        </w:rPr>
        <w:t>.</w:t>
      </w:r>
    </w:p>
    <w:p w:rsidR="00393EEF" w:rsidRPr="00393EEF" w:rsidRDefault="00ED7CED" w:rsidP="00393EEF">
      <w:pPr>
        <w:pStyle w:val="ListParagraph"/>
        <w:numPr>
          <w:ilvl w:val="0"/>
          <w:numId w:val="1"/>
        </w:numPr>
      </w:pPr>
      <w:r w:rsidRPr="00ED7CED">
        <w:rPr>
          <w:rFonts w:eastAsiaTheme="minorEastAsia"/>
        </w:rPr>
        <w:t xml:space="preserve">In usual topology, do </w:t>
      </w:r>
      <m:oMath>
        <m:r>
          <w:rPr>
            <w:rFonts w:ascii="Cambria Math" w:eastAsiaTheme="minorEastAsia" w:hAnsi="Cambria Math"/>
          </w:rPr>
          <m:t>Q</m:t>
        </m:r>
      </m:oMath>
      <w:proofErr w:type="gramStart"/>
      <w:r>
        <w:t>An</w:t>
      </w:r>
      <w:proofErr w:type="gramEnd"/>
      <w:r>
        <w:t xml:space="preserve"> open set? Closed set? Neither? Both?</w:t>
      </w:r>
    </w:p>
    <w:p w:rsidR="00393EEF" w:rsidRPr="00ED7CED" w:rsidRDefault="00ED7CED" w:rsidP="00ED7CED">
      <w:pPr>
        <w:pStyle w:val="ListParagraph"/>
        <w:numPr>
          <w:ilvl w:val="0"/>
          <w:numId w:val="1"/>
        </w:numPr>
      </w:pPr>
      <w:r>
        <w:t xml:space="preserve">Prove that if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is a dense subset of a </w:t>
      </w:r>
      <w:proofErr w:type="gramStart"/>
      <w:r>
        <w:rPr>
          <w:rFonts w:eastAsiaTheme="minorEastAsia"/>
        </w:rPr>
        <w:t xml:space="preserve">space </w:t>
      </w:r>
      <m:oMath>
        <w:proofErr w:type="gramEnd"/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is a non-empty open set of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, then </w:t>
      </w:r>
      <m:oMath>
        <m:r>
          <w:rPr>
            <w:rFonts w:ascii="Cambria Math" w:eastAsiaTheme="minorEastAsia" w:hAnsi="Cambria Math"/>
          </w:rPr>
          <m:t>A∩B≠∅</m:t>
        </m:r>
      </m:oMath>
      <w:r>
        <w:rPr>
          <w:rFonts w:eastAsiaTheme="minorEastAsia"/>
        </w:rPr>
        <w:t>.</w:t>
      </w:r>
    </w:p>
    <w:p w:rsidR="00ED7CED" w:rsidRPr="0029564D" w:rsidRDefault="00ED7CED" w:rsidP="00ED7CED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Show that every infinite subset of infinite co-finite space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is dense </w:t>
      </w:r>
      <w:proofErr w:type="gramStart"/>
      <w:r>
        <w:rPr>
          <w:rFonts w:eastAsiaTheme="minorEastAsia"/>
        </w:rPr>
        <w:t xml:space="preserve">in </w:t>
      </w:r>
      <m:oMath>
        <w:proofErr w:type="gramEnd"/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.</w:t>
      </w:r>
      <w:bookmarkStart w:id="0" w:name="_GoBack"/>
      <w:bookmarkEnd w:id="0"/>
    </w:p>
    <w:p w:rsidR="00F80BBD" w:rsidRDefault="00F80BBD" w:rsidP="00F80BBD"/>
    <w:p w:rsidR="00F80BBD" w:rsidRDefault="00F80BBD" w:rsidP="00F80BBD"/>
    <w:sectPr w:rsidR="00F80BBD" w:rsidSect="00A52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17EB"/>
    <w:multiLevelType w:val="hybridMultilevel"/>
    <w:tmpl w:val="83108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023C3"/>
    <w:multiLevelType w:val="hybridMultilevel"/>
    <w:tmpl w:val="8D0EC2C8"/>
    <w:lvl w:ilvl="0" w:tplc="A60EF842">
      <w:start w:val="1"/>
      <w:numFmt w:val="lowerRoman"/>
      <w:lvlText w:val="(%1)"/>
      <w:lvlJc w:val="left"/>
      <w:pPr>
        <w:ind w:left="144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E13B5"/>
    <w:multiLevelType w:val="hybridMultilevel"/>
    <w:tmpl w:val="58285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E0265"/>
    <w:multiLevelType w:val="hybridMultilevel"/>
    <w:tmpl w:val="32A44D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27610"/>
    <w:multiLevelType w:val="hybridMultilevel"/>
    <w:tmpl w:val="554A67F0"/>
    <w:lvl w:ilvl="0" w:tplc="06E0381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930DD8"/>
    <w:multiLevelType w:val="hybridMultilevel"/>
    <w:tmpl w:val="B5D2A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4B5398"/>
    <w:multiLevelType w:val="hybridMultilevel"/>
    <w:tmpl w:val="25FA60E8"/>
    <w:lvl w:ilvl="0" w:tplc="E826AF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9C1FBE"/>
    <w:multiLevelType w:val="hybridMultilevel"/>
    <w:tmpl w:val="B9E664B0"/>
    <w:lvl w:ilvl="0" w:tplc="0074B1C0">
      <w:start w:val="1"/>
      <w:numFmt w:val="lowerRoman"/>
      <w:lvlText w:val="(%1)"/>
      <w:lvlJc w:val="left"/>
      <w:pPr>
        <w:ind w:left="144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034643"/>
    <w:multiLevelType w:val="hybridMultilevel"/>
    <w:tmpl w:val="E3E442A4"/>
    <w:lvl w:ilvl="0" w:tplc="813418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7A4835"/>
    <w:multiLevelType w:val="hybridMultilevel"/>
    <w:tmpl w:val="80247966"/>
    <w:lvl w:ilvl="0" w:tplc="B4325D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66CC0"/>
    <w:multiLevelType w:val="hybridMultilevel"/>
    <w:tmpl w:val="BC269D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5D5CD5"/>
    <w:multiLevelType w:val="hybridMultilevel"/>
    <w:tmpl w:val="2C94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E592D"/>
    <w:multiLevelType w:val="hybridMultilevel"/>
    <w:tmpl w:val="ED3E0D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64D"/>
    <w:rsid w:val="0009184C"/>
    <w:rsid w:val="00123A0E"/>
    <w:rsid w:val="001A0C81"/>
    <w:rsid w:val="002773B4"/>
    <w:rsid w:val="0029564D"/>
    <w:rsid w:val="00295FB3"/>
    <w:rsid w:val="00393EEF"/>
    <w:rsid w:val="004C60FE"/>
    <w:rsid w:val="005A637B"/>
    <w:rsid w:val="006E6D54"/>
    <w:rsid w:val="006F1315"/>
    <w:rsid w:val="006F5C44"/>
    <w:rsid w:val="00863DFC"/>
    <w:rsid w:val="008C4E0F"/>
    <w:rsid w:val="009559B9"/>
    <w:rsid w:val="00A524E0"/>
    <w:rsid w:val="00B122F7"/>
    <w:rsid w:val="00CE7220"/>
    <w:rsid w:val="00D23DA9"/>
    <w:rsid w:val="00ED7CED"/>
    <w:rsid w:val="00F8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6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56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2956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NoSpacing">
    <w:name w:val="No Spacing"/>
    <w:uiPriority w:val="1"/>
    <w:qFormat/>
    <w:rsid w:val="00F80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6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56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2956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NoSpacing">
    <w:name w:val="No Spacing"/>
    <w:uiPriority w:val="1"/>
    <w:qFormat/>
    <w:rsid w:val="00F80B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malmousa</cp:lastModifiedBy>
  <cp:revision>2</cp:revision>
  <dcterms:created xsi:type="dcterms:W3CDTF">2016-10-18T05:53:00Z</dcterms:created>
  <dcterms:modified xsi:type="dcterms:W3CDTF">2016-10-18T05:53:00Z</dcterms:modified>
</cp:coreProperties>
</file>