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488D" w14:textId="77777777" w:rsidR="002E60B3" w:rsidRPr="00221639" w:rsidRDefault="002E60B3" w:rsidP="002E60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21639">
        <w:rPr>
          <w:rFonts w:asciiTheme="majorBidi" w:hAnsiTheme="majorBidi" w:cstheme="majorBidi"/>
          <w:b/>
          <w:bCs/>
          <w:sz w:val="24"/>
          <w:szCs w:val="24"/>
        </w:rPr>
        <w:t>435 PHCL</w:t>
      </w:r>
    </w:p>
    <w:p w14:paraId="60F119B2" w14:textId="77777777" w:rsidR="002E60B3" w:rsidRPr="00221639" w:rsidRDefault="002E60B3" w:rsidP="008C6B33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1C739EA7" w14:textId="77777777" w:rsidR="002E60B3" w:rsidRPr="00221639" w:rsidRDefault="002E60B3" w:rsidP="002E60B3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A9A301B" w14:textId="77777777" w:rsidR="002E60B3" w:rsidRPr="00221639" w:rsidRDefault="002E60B3" w:rsidP="002E60B3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22163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21639">
        <w:rPr>
          <w:rFonts w:asciiTheme="majorBidi" w:hAnsiTheme="majorBidi" w:cstheme="majorBidi"/>
          <w:sz w:val="24"/>
          <w:szCs w:val="24"/>
        </w:rPr>
        <w:t>name</w:t>
      </w:r>
      <w:proofErr w:type="gramEnd"/>
      <w:r w:rsidRPr="00221639">
        <w:rPr>
          <w:rFonts w:asciiTheme="majorBidi" w:hAnsiTheme="majorBidi" w:cstheme="majorBidi"/>
          <w:sz w:val="24"/>
          <w:szCs w:val="24"/>
        </w:rPr>
        <w:t>: ------------------------------------------------------------</w:t>
      </w:r>
    </w:p>
    <w:p w14:paraId="28344192" w14:textId="77777777" w:rsidR="00E44297" w:rsidRPr="00221639" w:rsidRDefault="00E44297" w:rsidP="00E44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77C435A2" w14:textId="77777777" w:rsidR="00E44297" w:rsidRPr="00221639" w:rsidRDefault="00221639" w:rsidP="00DE0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b/>
          <w:bCs/>
          <w:color w:val="333333"/>
          <w:sz w:val="24"/>
          <w:szCs w:val="24"/>
        </w:rPr>
        <w:t>Q1</w:t>
      </w:r>
      <w:r w:rsidR="00E44297" w:rsidRPr="00221639">
        <w:rPr>
          <w:rFonts w:asciiTheme="majorBidi" w:hAnsiTheme="majorBidi" w:cstheme="majorBidi"/>
          <w:b/>
          <w:bCs/>
          <w:color w:val="333333"/>
          <w:sz w:val="24"/>
          <w:szCs w:val="24"/>
        </w:rPr>
        <w:t>:</w:t>
      </w:r>
      <w:r w:rsidR="00E44297"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DE0FAF" w:rsidRPr="00221639">
        <w:rPr>
          <w:rFonts w:asciiTheme="majorBidi" w:hAnsiTheme="majorBidi" w:cstheme="majorBidi"/>
          <w:color w:val="333333"/>
          <w:sz w:val="24"/>
          <w:szCs w:val="24"/>
        </w:rPr>
        <w:t>T</w:t>
      </w:r>
      <w:r w:rsidR="00E44297" w:rsidRPr="00221639">
        <w:rPr>
          <w:rFonts w:asciiTheme="majorBidi" w:hAnsiTheme="majorBidi" w:cstheme="majorBidi"/>
          <w:color w:val="333333"/>
          <w:sz w:val="24"/>
          <w:szCs w:val="24"/>
        </w:rPr>
        <w:t>hrough December 31, 1999, 12 students started using alb</w:t>
      </w:r>
      <w:r w:rsidR="00DE0FAF"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uterol 3 months into the study, </w:t>
      </w:r>
      <w:r w:rsidR="00E44297" w:rsidRPr="00221639">
        <w:rPr>
          <w:rFonts w:asciiTheme="majorBidi" w:hAnsiTheme="majorBidi" w:cstheme="majorBidi"/>
          <w:color w:val="333333"/>
          <w:sz w:val="24"/>
          <w:szCs w:val="24"/>
        </w:rPr>
        <w:t>and 18 s</w:t>
      </w:r>
      <w:r w:rsidR="00DE0FAF"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tudents started using albuterol </w:t>
      </w:r>
      <w:r w:rsidR="00E44297" w:rsidRPr="00221639">
        <w:rPr>
          <w:rFonts w:asciiTheme="majorBidi" w:hAnsiTheme="majorBidi" w:cstheme="majorBidi"/>
          <w:color w:val="333333"/>
          <w:sz w:val="24"/>
          <w:szCs w:val="24"/>
        </w:rPr>
        <w:t>6 months into the study. Of the remaining students in the study, 300 d</w:t>
      </w:r>
      <w:r w:rsidR="00DE0FAF"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rop out after 4 months, and 600 </w:t>
      </w:r>
      <w:r w:rsidR="00E44297" w:rsidRPr="00221639">
        <w:rPr>
          <w:rFonts w:asciiTheme="majorBidi" w:hAnsiTheme="majorBidi" w:cstheme="majorBidi"/>
          <w:color w:val="333333"/>
          <w:sz w:val="24"/>
          <w:szCs w:val="24"/>
        </w:rPr>
        <w:t>drop out after 8 months.</w:t>
      </w:r>
    </w:p>
    <w:p w14:paraId="3D4A7F83" w14:textId="77777777" w:rsidR="0019197A" w:rsidRPr="00221639" w:rsidRDefault="0019197A" w:rsidP="00DE0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6E0AA193" w14:textId="77777777" w:rsidR="00AE5781" w:rsidRDefault="00DE0FAF" w:rsidP="00DE0F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color w:val="333333"/>
          <w:sz w:val="24"/>
          <w:szCs w:val="24"/>
        </w:rPr>
        <w:t>Calculate the incidence rate in person-time unit.</w:t>
      </w:r>
      <w:r w:rsidR="00AE5781" w:rsidRPr="00AE578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</w:p>
    <w:p w14:paraId="28E56E34" w14:textId="77777777" w:rsidR="00DE0FAF" w:rsidRPr="00221639" w:rsidRDefault="00AE5781" w:rsidP="00DE0F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color w:val="333333"/>
          <w:sz w:val="24"/>
          <w:szCs w:val="24"/>
        </w:rPr>
        <w:t>What does your answer means?</w:t>
      </w:r>
    </w:p>
    <w:p w14:paraId="04C186A7" w14:textId="77777777" w:rsidR="00064360" w:rsidRDefault="00064360" w:rsidP="00AE57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333333"/>
          <w:sz w:val="24"/>
          <w:szCs w:val="24"/>
        </w:rPr>
      </w:pPr>
    </w:p>
    <w:p w14:paraId="0F576C45" w14:textId="77777777" w:rsidR="003C2C9A" w:rsidRDefault="003C2C9A" w:rsidP="00AE57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333333"/>
          <w:sz w:val="24"/>
          <w:szCs w:val="24"/>
        </w:rPr>
      </w:pPr>
    </w:p>
    <w:p w14:paraId="27E13E01" w14:textId="77777777" w:rsidR="003C2C9A" w:rsidRDefault="003C2C9A" w:rsidP="00AE57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333333"/>
          <w:sz w:val="24"/>
          <w:szCs w:val="24"/>
        </w:rPr>
      </w:pPr>
    </w:p>
    <w:p w14:paraId="071462EA" w14:textId="77777777" w:rsidR="003C2C9A" w:rsidRDefault="003C2C9A" w:rsidP="00AE57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333333"/>
          <w:sz w:val="24"/>
          <w:szCs w:val="24"/>
        </w:rPr>
      </w:pPr>
    </w:p>
    <w:p w14:paraId="3423677A" w14:textId="77777777" w:rsidR="003C2C9A" w:rsidRDefault="003C2C9A" w:rsidP="00AE57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333333"/>
          <w:sz w:val="24"/>
          <w:szCs w:val="24"/>
        </w:rPr>
      </w:pPr>
    </w:p>
    <w:p w14:paraId="4D457D33" w14:textId="77777777" w:rsidR="003C2C9A" w:rsidRPr="00221639" w:rsidRDefault="003C2C9A" w:rsidP="00AE57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7DE0EB1C" w14:textId="77777777" w:rsidR="00221639" w:rsidRPr="00221639" w:rsidRDefault="00221639" w:rsidP="00221639">
      <w:pPr>
        <w:jc w:val="both"/>
        <w:rPr>
          <w:rFonts w:asciiTheme="majorBidi" w:hAnsiTheme="majorBidi" w:cstheme="majorBidi"/>
          <w:sz w:val="24"/>
          <w:szCs w:val="24"/>
        </w:rPr>
      </w:pPr>
      <w:r w:rsidRPr="00221639">
        <w:rPr>
          <w:rFonts w:asciiTheme="majorBidi" w:hAnsiTheme="majorBidi" w:cstheme="majorBidi"/>
          <w:b/>
          <w:bCs/>
          <w:color w:val="333333"/>
          <w:sz w:val="24"/>
          <w:szCs w:val="24"/>
        </w:rPr>
        <w:t>Q2:</w:t>
      </w:r>
      <w:r w:rsidRPr="00221639">
        <w:rPr>
          <w:rFonts w:asciiTheme="majorBidi" w:hAnsiTheme="majorBidi" w:cstheme="majorBidi"/>
          <w:sz w:val="24"/>
          <w:szCs w:val="24"/>
        </w:rPr>
        <w:t xml:space="preserve"> In the past month, Town A reported five new cases of HIV/AIDS.  This brings the total number of HIV/AIDS cases this year to 26.  In Town B, there were 10 new cases and over 100 total cases during the same time periods.</w:t>
      </w:r>
    </w:p>
    <w:p w14:paraId="38A88C5B" w14:textId="77777777" w:rsidR="00221639" w:rsidRPr="00221639" w:rsidRDefault="00221639" w:rsidP="00221639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Pr="00221639">
        <w:rPr>
          <w:rFonts w:asciiTheme="majorBidi" w:hAnsiTheme="majorBidi" w:cstheme="majorBidi"/>
          <w:sz w:val="24"/>
          <w:szCs w:val="24"/>
        </w:rPr>
        <w:t>hich town has more HIV/AIDS disease?</w:t>
      </w:r>
    </w:p>
    <w:p w14:paraId="351D4A36" w14:textId="77777777" w:rsidR="00221639" w:rsidRPr="00221639" w:rsidRDefault="00221639" w:rsidP="00221639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21639">
        <w:rPr>
          <w:rFonts w:asciiTheme="majorBidi" w:hAnsiTheme="majorBidi" w:cstheme="majorBidi"/>
          <w:sz w:val="24"/>
          <w:szCs w:val="24"/>
        </w:rPr>
        <w:t xml:space="preserve">Would the answer change if they were told the total population in Town A was 10,000 and Town B was 10 million?  </w:t>
      </w:r>
    </w:p>
    <w:p w14:paraId="3FB4DA93" w14:textId="77777777" w:rsidR="003C2C9A" w:rsidRDefault="003C2C9A" w:rsidP="0022163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83214E4" w14:textId="77777777" w:rsidR="003C2C9A" w:rsidRDefault="003C2C9A" w:rsidP="0022163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4584059" w14:textId="77777777" w:rsidR="003C2C9A" w:rsidRDefault="003C2C9A" w:rsidP="0022163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8A98826" w14:textId="77777777" w:rsidR="00221639" w:rsidRDefault="00221639" w:rsidP="00221639">
      <w:pPr>
        <w:rPr>
          <w:rFonts w:asciiTheme="majorBidi" w:hAnsiTheme="majorBidi" w:cstheme="majorBidi"/>
          <w:sz w:val="24"/>
          <w:szCs w:val="24"/>
        </w:rPr>
      </w:pPr>
      <w:r w:rsidRPr="00221639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3: </w:t>
      </w:r>
      <w:r w:rsidRPr="00221639">
        <w:rPr>
          <w:rFonts w:asciiTheme="majorBidi" w:hAnsiTheme="majorBidi" w:cstheme="majorBidi"/>
          <w:sz w:val="24"/>
          <w:szCs w:val="24"/>
        </w:rPr>
        <w:t xml:space="preserve"> Five new cases of HIV/AIDS were reported.  This brings the total number of active HIV/AIDS cases this year (2006) to 56; total population is </w:t>
      </w:r>
      <w:r>
        <w:rPr>
          <w:rFonts w:asciiTheme="majorBidi" w:hAnsiTheme="majorBidi" w:cstheme="majorBidi"/>
          <w:sz w:val="24"/>
          <w:szCs w:val="24"/>
        </w:rPr>
        <w:t>100,000 and population at risk o</w:t>
      </w:r>
      <w:r w:rsidRPr="00221639">
        <w:rPr>
          <w:rFonts w:asciiTheme="majorBidi" w:hAnsiTheme="majorBidi" w:cstheme="majorBidi"/>
          <w:sz w:val="24"/>
          <w:szCs w:val="24"/>
        </w:rPr>
        <w:t>f HIV/AIDS is 20,000</w:t>
      </w:r>
    </w:p>
    <w:p w14:paraId="7AD8F045" w14:textId="77777777" w:rsidR="00221639" w:rsidRPr="00221639" w:rsidRDefault="00221639" w:rsidP="00221639">
      <w:pPr>
        <w:rPr>
          <w:rFonts w:asciiTheme="majorBidi" w:hAnsiTheme="majorBidi" w:cstheme="majorBidi"/>
          <w:sz w:val="24"/>
          <w:szCs w:val="24"/>
        </w:rPr>
      </w:pPr>
      <w:r w:rsidRPr="00221639">
        <w:rPr>
          <w:rFonts w:asciiTheme="majorBidi" w:hAnsiTheme="majorBidi" w:cstheme="majorBidi"/>
          <w:sz w:val="24"/>
          <w:szCs w:val="24"/>
        </w:rPr>
        <w:t xml:space="preserve">Suppose the actual time at risk for any one individual is estimated at 183 days per year (= 0.5 years per individual). </w:t>
      </w:r>
    </w:p>
    <w:p w14:paraId="6F86786E" w14:textId="77777777" w:rsidR="00221639" w:rsidRPr="00DA04B5" w:rsidRDefault="00221639" w:rsidP="002216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04B5">
        <w:rPr>
          <w:rFonts w:asciiTheme="majorBidi" w:hAnsiTheme="majorBidi" w:cstheme="majorBidi"/>
          <w:sz w:val="24"/>
          <w:szCs w:val="24"/>
        </w:rPr>
        <w:t xml:space="preserve">Calculate Prevalence rate. </w:t>
      </w:r>
    </w:p>
    <w:p w14:paraId="14C70D6C" w14:textId="77777777" w:rsidR="00221639" w:rsidRPr="00DA04B5" w:rsidRDefault="00221639" w:rsidP="002216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04B5">
        <w:rPr>
          <w:rFonts w:asciiTheme="majorBidi" w:hAnsiTheme="majorBidi" w:cstheme="majorBidi"/>
          <w:sz w:val="24"/>
          <w:szCs w:val="24"/>
        </w:rPr>
        <w:t xml:space="preserve">What is the Cumulative Incidence for one year? </w:t>
      </w:r>
    </w:p>
    <w:p w14:paraId="335AACA5" w14:textId="77777777" w:rsidR="00221639" w:rsidRPr="00DA04B5" w:rsidRDefault="00221639" w:rsidP="002216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A04B5">
        <w:rPr>
          <w:rFonts w:asciiTheme="majorBidi" w:hAnsiTheme="majorBidi" w:cstheme="majorBidi"/>
          <w:sz w:val="24"/>
          <w:szCs w:val="24"/>
        </w:rPr>
        <w:t>what</w:t>
      </w:r>
      <w:proofErr w:type="gramEnd"/>
      <w:r w:rsidRPr="00DA04B5">
        <w:rPr>
          <w:rFonts w:asciiTheme="majorBidi" w:hAnsiTheme="majorBidi" w:cstheme="majorBidi"/>
          <w:sz w:val="24"/>
          <w:szCs w:val="24"/>
        </w:rPr>
        <w:t xml:space="preserve"> is Incidence Rate for person-years?</w:t>
      </w:r>
    </w:p>
    <w:p w14:paraId="389E0990" w14:textId="77777777" w:rsidR="00221639" w:rsidRPr="00221639" w:rsidRDefault="00221639" w:rsidP="00221639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14:paraId="21E1A810" w14:textId="77777777" w:rsidR="00221639" w:rsidRDefault="00221639" w:rsidP="00221639">
      <w:pPr>
        <w:rPr>
          <w:rFonts w:asciiTheme="majorBidi" w:hAnsiTheme="majorBidi" w:cstheme="majorBidi"/>
          <w:color w:val="C00000"/>
          <w:sz w:val="24"/>
          <w:szCs w:val="24"/>
        </w:rPr>
      </w:pPr>
    </w:p>
    <w:p w14:paraId="68F943FA" w14:textId="77777777" w:rsidR="003C2C9A" w:rsidRDefault="003C2C9A" w:rsidP="00221639">
      <w:pPr>
        <w:rPr>
          <w:rFonts w:asciiTheme="majorBidi" w:hAnsiTheme="majorBidi" w:cstheme="majorBidi"/>
          <w:color w:val="C00000"/>
          <w:sz w:val="24"/>
          <w:szCs w:val="24"/>
        </w:rPr>
      </w:pPr>
    </w:p>
    <w:p w14:paraId="3DB1C9AD" w14:textId="77777777" w:rsidR="003C2C9A" w:rsidRPr="00221639" w:rsidRDefault="003C2C9A" w:rsidP="00221639">
      <w:pPr>
        <w:rPr>
          <w:rFonts w:asciiTheme="majorBidi" w:hAnsiTheme="majorBidi" w:cstheme="majorBidi"/>
          <w:color w:val="C00000"/>
          <w:sz w:val="24"/>
          <w:szCs w:val="24"/>
        </w:rPr>
      </w:pPr>
    </w:p>
    <w:p w14:paraId="6892D55A" w14:textId="77777777" w:rsidR="00221639" w:rsidRDefault="00221639" w:rsidP="00221639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Q4:</w:t>
      </w:r>
      <w:r w:rsidRPr="004E09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the study of diabetics, 100 of the 189 diabetic men died during the 13-year follow-up period. </w:t>
      </w:r>
    </w:p>
    <w:p w14:paraId="640FBFED" w14:textId="77777777" w:rsidR="00221639" w:rsidRPr="00221639" w:rsidRDefault="00221639" w:rsidP="0022163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22163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Calculate the risk of death for these men. </w:t>
      </w:r>
    </w:p>
    <w:p w14:paraId="4B42C5F5" w14:textId="77777777" w:rsidR="00221639" w:rsidRDefault="00221639" w:rsidP="003C2C9A">
      <w:pPr>
        <w:spacing w:after="150" w:line="319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5BB12031" w14:textId="77777777" w:rsidR="003C2C9A" w:rsidRDefault="003C2C9A" w:rsidP="003C2C9A">
      <w:pPr>
        <w:spacing w:after="150" w:line="319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352CEFFD" w14:textId="77777777" w:rsidR="003C2C9A" w:rsidRPr="00221639" w:rsidRDefault="003C2C9A" w:rsidP="003C2C9A">
      <w:pPr>
        <w:spacing w:after="150" w:line="319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17FF7DE0" w14:textId="77777777" w:rsidR="00221639" w:rsidRDefault="00221639" w:rsidP="003C2C9A">
      <w:pPr>
        <w:spacing w:after="150" w:line="319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Q5: </w:t>
      </w:r>
      <w:r w:rsidRPr="004E09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diabetes follow-up study included 218 diabetic women and 3,823 </w:t>
      </w:r>
      <w:proofErr w:type="spellStart"/>
      <w:r w:rsidRPr="004E0977">
        <w:rPr>
          <w:rFonts w:asciiTheme="majorBidi" w:eastAsia="Times New Roman" w:hAnsiTheme="majorBidi" w:cstheme="majorBidi"/>
          <w:color w:val="000000"/>
          <w:sz w:val="24"/>
          <w:szCs w:val="24"/>
        </w:rPr>
        <w:t>nondiabetic</w:t>
      </w:r>
      <w:proofErr w:type="spellEnd"/>
      <w:r w:rsidRPr="004E09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women. By the end of the study, 72 of the diabetic women and 511 of the </w:t>
      </w:r>
      <w:proofErr w:type="spellStart"/>
      <w:r w:rsidRPr="004E0977">
        <w:rPr>
          <w:rFonts w:asciiTheme="majorBidi" w:eastAsia="Times New Roman" w:hAnsiTheme="majorBidi" w:cstheme="majorBidi"/>
          <w:color w:val="000000"/>
          <w:sz w:val="24"/>
          <w:szCs w:val="24"/>
        </w:rPr>
        <w:t>nondiabetic</w:t>
      </w:r>
      <w:proofErr w:type="spellEnd"/>
      <w:r w:rsidRPr="004E09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women had died. The diabetic women were observed for a total of 1,862 person years; the </w:t>
      </w:r>
      <w:proofErr w:type="spellStart"/>
      <w:r w:rsidRPr="004E0977">
        <w:rPr>
          <w:rFonts w:asciiTheme="majorBidi" w:eastAsia="Times New Roman" w:hAnsiTheme="majorBidi" w:cstheme="majorBidi"/>
          <w:color w:val="000000"/>
          <w:sz w:val="24"/>
          <w:szCs w:val="24"/>
        </w:rPr>
        <w:t>nondiabetic</w:t>
      </w:r>
      <w:proofErr w:type="spellEnd"/>
      <w:r w:rsidRPr="004E09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women were observed for a total of 36,653 person years. </w:t>
      </w:r>
    </w:p>
    <w:p w14:paraId="3F8CC05C" w14:textId="77777777" w:rsidR="00221639" w:rsidRPr="00221639" w:rsidRDefault="00221639" w:rsidP="003C2C9A">
      <w:pPr>
        <w:pStyle w:val="ListParagraph"/>
        <w:numPr>
          <w:ilvl w:val="0"/>
          <w:numId w:val="6"/>
        </w:numPr>
        <w:spacing w:after="150" w:line="319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2163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Calculate the cumulative incidence and incidence rates of death for the diabetic and non-diabetic women. </w:t>
      </w:r>
    </w:p>
    <w:p w14:paraId="15BC55ED" w14:textId="77777777" w:rsidR="00221639" w:rsidRDefault="00221639" w:rsidP="00221639">
      <w:pPr>
        <w:rPr>
          <w:rFonts w:asciiTheme="majorBidi" w:hAnsiTheme="majorBidi" w:cstheme="majorBidi"/>
          <w:sz w:val="24"/>
          <w:szCs w:val="24"/>
        </w:rPr>
      </w:pPr>
    </w:p>
    <w:p w14:paraId="75392A07" w14:textId="77777777" w:rsidR="00221639" w:rsidRDefault="00221639" w:rsidP="00221639">
      <w:pPr>
        <w:rPr>
          <w:rFonts w:asciiTheme="majorBidi" w:hAnsiTheme="majorBidi" w:cstheme="majorBidi"/>
          <w:sz w:val="24"/>
          <w:szCs w:val="24"/>
        </w:rPr>
      </w:pPr>
    </w:p>
    <w:p w14:paraId="2D0E52F1" w14:textId="77777777" w:rsidR="00221639" w:rsidRDefault="00221639" w:rsidP="00221639">
      <w:pPr>
        <w:rPr>
          <w:rFonts w:asciiTheme="majorBidi" w:hAnsiTheme="majorBidi" w:cstheme="majorBidi"/>
          <w:sz w:val="24"/>
          <w:szCs w:val="24"/>
        </w:rPr>
      </w:pPr>
    </w:p>
    <w:p w14:paraId="1990BFE5" w14:textId="77777777" w:rsidR="00221639" w:rsidRDefault="00221639" w:rsidP="00221639">
      <w:pPr>
        <w:rPr>
          <w:rFonts w:asciiTheme="majorBidi" w:hAnsiTheme="majorBidi" w:cstheme="majorBidi"/>
          <w:sz w:val="24"/>
          <w:szCs w:val="24"/>
        </w:rPr>
      </w:pPr>
    </w:p>
    <w:p w14:paraId="611E6D96" w14:textId="77777777" w:rsidR="00221639" w:rsidRDefault="00221639" w:rsidP="00221639">
      <w:pPr>
        <w:rPr>
          <w:rFonts w:asciiTheme="majorBidi" w:hAnsiTheme="majorBidi" w:cstheme="majorBidi"/>
          <w:sz w:val="24"/>
          <w:szCs w:val="24"/>
        </w:rPr>
      </w:pPr>
    </w:p>
    <w:p w14:paraId="675EF293" w14:textId="77777777" w:rsidR="003C2C9A" w:rsidRPr="00221639" w:rsidRDefault="003C2C9A" w:rsidP="00221639">
      <w:pPr>
        <w:rPr>
          <w:rFonts w:asciiTheme="majorBidi" w:hAnsiTheme="majorBidi" w:cstheme="majorBidi"/>
          <w:sz w:val="24"/>
          <w:szCs w:val="24"/>
        </w:rPr>
      </w:pPr>
    </w:p>
    <w:p w14:paraId="408CDE80" w14:textId="77777777" w:rsidR="00313E24" w:rsidRPr="00221639" w:rsidRDefault="00313E24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774099F5" w14:textId="77777777" w:rsidR="00064360" w:rsidRPr="00221639" w:rsidRDefault="00064360" w:rsidP="002216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b/>
          <w:bCs/>
          <w:color w:val="333333"/>
          <w:sz w:val="24"/>
          <w:szCs w:val="24"/>
        </w:rPr>
        <w:t>Q</w:t>
      </w:r>
      <w:r w:rsidR="00221639">
        <w:rPr>
          <w:rFonts w:asciiTheme="majorBidi" w:hAnsiTheme="majorBidi" w:cstheme="majorBidi"/>
          <w:b/>
          <w:bCs/>
          <w:color w:val="333333"/>
          <w:sz w:val="24"/>
          <w:szCs w:val="24"/>
        </w:rPr>
        <w:t>6:</w:t>
      </w:r>
      <w:r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 Using same university X as an example.</w:t>
      </w:r>
    </w:p>
    <w:p w14:paraId="045F3475" w14:textId="77777777" w:rsidR="00064360" w:rsidRPr="00221639" w:rsidRDefault="00064360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Assume that 3000 students are enrolled. 300 students have asthma before starting the year. </w:t>
      </w:r>
    </w:p>
    <w:p w14:paraId="536C2812" w14:textId="77777777" w:rsidR="00064360" w:rsidRPr="00221639" w:rsidRDefault="00064360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Of the 2700 remaining students, 1400 students live in the city and 1300 students live in the country. </w:t>
      </w:r>
    </w:p>
    <w:p w14:paraId="774A23E3" w14:textId="77777777" w:rsidR="00064360" w:rsidRPr="00221639" w:rsidRDefault="00064360" w:rsidP="00510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color w:val="333333"/>
          <w:sz w:val="24"/>
          <w:szCs w:val="24"/>
        </w:rPr>
        <w:t>Of the students who live in the city, 200 d</w:t>
      </w:r>
      <w:r w:rsidR="00510BB4"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evelop asthma during the school </w:t>
      </w:r>
      <w:r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year. </w:t>
      </w:r>
    </w:p>
    <w:p w14:paraId="724FA423" w14:textId="77777777" w:rsidR="00064360" w:rsidRPr="00221639" w:rsidRDefault="00064360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Of the students who live in the country, 100 students develop asthma during the school year. </w:t>
      </w:r>
    </w:p>
    <w:p w14:paraId="7458C979" w14:textId="77777777" w:rsidR="00064360" w:rsidRPr="00221639" w:rsidRDefault="00064360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0D36236B" w14:textId="77777777" w:rsidR="00064360" w:rsidRPr="00221639" w:rsidRDefault="00064360" w:rsidP="000643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color w:val="333333"/>
          <w:sz w:val="24"/>
          <w:szCs w:val="24"/>
        </w:rPr>
        <w:t>Calculate the cumulative incidence using 2</w:t>
      </w:r>
      <w:r w:rsidR="00877F10"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221639">
        <w:rPr>
          <w:rFonts w:asciiTheme="majorBidi" w:hAnsiTheme="majorBidi" w:cstheme="majorBidi"/>
          <w:color w:val="333333"/>
          <w:sz w:val="24"/>
          <w:szCs w:val="24"/>
        </w:rPr>
        <w:t>x</w:t>
      </w:r>
      <w:r w:rsidR="00877F10"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221639">
        <w:rPr>
          <w:rFonts w:asciiTheme="majorBidi" w:hAnsiTheme="majorBidi" w:cstheme="majorBidi"/>
          <w:color w:val="333333"/>
          <w:sz w:val="24"/>
          <w:szCs w:val="24"/>
        </w:rPr>
        <w:t>2 contingency table.</w:t>
      </w:r>
    </w:p>
    <w:p w14:paraId="70F9681B" w14:textId="77777777" w:rsidR="00064360" w:rsidRPr="00221639" w:rsidRDefault="00877F10" w:rsidP="000643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221639">
        <w:rPr>
          <w:rFonts w:asciiTheme="majorBidi" w:hAnsiTheme="majorBidi" w:cstheme="majorBidi"/>
          <w:color w:val="333333"/>
          <w:sz w:val="24"/>
          <w:szCs w:val="24"/>
        </w:rPr>
        <w:t xml:space="preserve">Draw the table, and specify A, B, C and D. </w:t>
      </w:r>
    </w:p>
    <w:p w14:paraId="2B1BC268" w14:textId="77777777" w:rsidR="00064360" w:rsidRPr="00221639" w:rsidRDefault="00064360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62FDC727" w14:textId="77777777" w:rsidR="00221639" w:rsidRPr="00221639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3CCE05ED" w14:textId="77777777" w:rsidR="00221639" w:rsidRPr="00221639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46C61802" w14:textId="77777777" w:rsidR="00221639" w:rsidRPr="00221639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3893E66F" w14:textId="77777777" w:rsidR="00221639" w:rsidRPr="00221639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1CFC04C5" w14:textId="77777777" w:rsidR="00221639" w:rsidRPr="003E399A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14:paraId="0B4FC83F" w14:textId="77777777" w:rsidR="00221639" w:rsidRPr="003E399A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14:paraId="0EC1C1BA" w14:textId="77777777" w:rsidR="00221639" w:rsidRPr="00221639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3A31AFD2" w14:textId="77777777" w:rsidR="00221639" w:rsidRPr="00221639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1F32EE6C" w14:textId="77777777" w:rsidR="00221639" w:rsidRPr="00221639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14:paraId="7FF1649F" w14:textId="77777777" w:rsidR="00221639" w:rsidRPr="00221639" w:rsidRDefault="00221639" w:rsidP="0006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</w:rPr>
      </w:pPr>
    </w:p>
    <w:sectPr w:rsidR="00221639" w:rsidRPr="00221639" w:rsidSect="002E60B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9BD4" w14:textId="77777777" w:rsidR="00F9375E" w:rsidRDefault="00F9375E" w:rsidP="00313E24">
      <w:pPr>
        <w:spacing w:after="0" w:line="240" w:lineRule="auto"/>
      </w:pPr>
      <w:r>
        <w:separator/>
      </w:r>
    </w:p>
  </w:endnote>
  <w:endnote w:type="continuationSeparator" w:id="0">
    <w:p w14:paraId="3B3F4804" w14:textId="77777777" w:rsidR="00F9375E" w:rsidRDefault="00F9375E" w:rsidP="0031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1B39" w14:textId="77777777" w:rsidR="00F9375E" w:rsidRDefault="00F9375E" w:rsidP="00313E24">
      <w:pPr>
        <w:spacing w:after="0" w:line="240" w:lineRule="auto"/>
      </w:pPr>
      <w:r>
        <w:separator/>
      </w:r>
    </w:p>
  </w:footnote>
  <w:footnote w:type="continuationSeparator" w:id="0">
    <w:p w14:paraId="159CD745" w14:textId="77777777" w:rsidR="00F9375E" w:rsidRDefault="00F9375E" w:rsidP="0031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03A"/>
    <w:multiLevelType w:val="hybridMultilevel"/>
    <w:tmpl w:val="60F89364"/>
    <w:lvl w:ilvl="0" w:tplc="37CC0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1DD1"/>
    <w:multiLevelType w:val="hybridMultilevel"/>
    <w:tmpl w:val="4D226B44"/>
    <w:lvl w:ilvl="0" w:tplc="37CC0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0EE1"/>
    <w:multiLevelType w:val="hybridMultilevel"/>
    <w:tmpl w:val="1C9E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E5DC7"/>
    <w:multiLevelType w:val="hybridMultilevel"/>
    <w:tmpl w:val="BAEC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3684B"/>
    <w:multiLevelType w:val="hybridMultilevel"/>
    <w:tmpl w:val="8F66A1FE"/>
    <w:lvl w:ilvl="0" w:tplc="37CC0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61E94"/>
    <w:multiLevelType w:val="hybridMultilevel"/>
    <w:tmpl w:val="BEF2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61D57"/>
    <w:multiLevelType w:val="hybridMultilevel"/>
    <w:tmpl w:val="6FAC97F8"/>
    <w:lvl w:ilvl="0" w:tplc="37CC0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7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28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2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F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9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A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0F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AC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B3"/>
    <w:rsid w:val="000055CA"/>
    <w:rsid w:val="00050D8A"/>
    <w:rsid w:val="00055ABB"/>
    <w:rsid w:val="00064360"/>
    <w:rsid w:val="000828EF"/>
    <w:rsid w:val="000E6A2D"/>
    <w:rsid w:val="0019197A"/>
    <w:rsid w:val="00207FB6"/>
    <w:rsid w:val="00212289"/>
    <w:rsid w:val="002144EF"/>
    <w:rsid w:val="002148E5"/>
    <w:rsid w:val="00221639"/>
    <w:rsid w:val="002A50ED"/>
    <w:rsid w:val="002E60B3"/>
    <w:rsid w:val="00313E24"/>
    <w:rsid w:val="00346853"/>
    <w:rsid w:val="003707F3"/>
    <w:rsid w:val="003830D5"/>
    <w:rsid w:val="003C2C9A"/>
    <w:rsid w:val="003E399A"/>
    <w:rsid w:val="00406C60"/>
    <w:rsid w:val="0041527C"/>
    <w:rsid w:val="0044418B"/>
    <w:rsid w:val="004D5BD0"/>
    <w:rsid w:val="004E1619"/>
    <w:rsid w:val="00510BB4"/>
    <w:rsid w:val="00523010"/>
    <w:rsid w:val="00566D21"/>
    <w:rsid w:val="006521C2"/>
    <w:rsid w:val="006901FA"/>
    <w:rsid w:val="006C55DF"/>
    <w:rsid w:val="006D26E1"/>
    <w:rsid w:val="006F3CA7"/>
    <w:rsid w:val="00704450"/>
    <w:rsid w:val="00705951"/>
    <w:rsid w:val="007D7061"/>
    <w:rsid w:val="007F25DF"/>
    <w:rsid w:val="008271F4"/>
    <w:rsid w:val="0086573B"/>
    <w:rsid w:val="00877F10"/>
    <w:rsid w:val="00897ED1"/>
    <w:rsid w:val="008C6B33"/>
    <w:rsid w:val="00993A9B"/>
    <w:rsid w:val="009B4282"/>
    <w:rsid w:val="00A0480E"/>
    <w:rsid w:val="00A23463"/>
    <w:rsid w:val="00A36AFA"/>
    <w:rsid w:val="00AC1851"/>
    <w:rsid w:val="00AC5B0D"/>
    <w:rsid w:val="00AE5781"/>
    <w:rsid w:val="00B3043D"/>
    <w:rsid w:val="00B63442"/>
    <w:rsid w:val="00C1181A"/>
    <w:rsid w:val="00C95EE6"/>
    <w:rsid w:val="00CB3EB3"/>
    <w:rsid w:val="00D20917"/>
    <w:rsid w:val="00D933AD"/>
    <w:rsid w:val="00D97489"/>
    <w:rsid w:val="00DA04B5"/>
    <w:rsid w:val="00DD67E5"/>
    <w:rsid w:val="00DE0FAF"/>
    <w:rsid w:val="00DF325C"/>
    <w:rsid w:val="00E173FC"/>
    <w:rsid w:val="00E44297"/>
    <w:rsid w:val="00E8237E"/>
    <w:rsid w:val="00E95F42"/>
    <w:rsid w:val="00EA6322"/>
    <w:rsid w:val="00F024CB"/>
    <w:rsid w:val="00F33B05"/>
    <w:rsid w:val="00F378B7"/>
    <w:rsid w:val="00F533D9"/>
    <w:rsid w:val="00F73C68"/>
    <w:rsid w:val="00F80887"/>
    <w:rsid w:val="00F9375E"/>
    <w:rsid w:val="00FB1D7F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BD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24"/>
  </w:style>
  <w:style w:type="paragraph" w:styleId="Footer">
    <w:name w:val="footer"/>
    <w:basedOn w:val="Normal"/>
    <w:link w:val="FooterChar"/>
    <w:uiPriority w:val="99"/>
    <w:unhideWhenUsed/>
    <w:rsid w:val="0031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24"/>
  </w:style>
  <w:style w:type="paragraph" w:styleId="BalloonText">
    <w:name w:val="Balloon Text"/>
    <w:basedOn w:val="Normal"/>
    <w:link w:val="BalloonTextChar"/>
    <w:uiPriority w:val="99"/>
    <w:semiHidden/>
    <w:unhideWhenUsed/>
    <w:rsid w:val="00AE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24"/>
  </w:style>
  <w:style w:type="paragraph" w:styleId="Footer">
    <w:name w:val="footer"/>
    <w:basedOn w:val="Normal"/>
    <w:link w:val="FooterChar"/>
    <w:uiPriority w:val="99"/>
    <w:unhideWhenUsed/>
    <w:rsid w:val="0031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24"/>
  </w:style>
  <w:style w:type="paragraph" w:styleId="BalloonText">
    <w:name w:val="Balloon Text"/>
    <w:basedOn w:val="Normal"/>
    <w:link w:val="BalloonTextChar"/>
    <w:uiPriority w:val="99"/>
    <w:semiHidden/>
    <w:unhideWhenUsed/>
    <w:rsid w:val="00AE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ghada aboheimed</cp:lastModifiedBy>
  <cp:revision>2</cp:revision>
  <dcterms:created xsi:type="dcterms:W3CDTF">2013-11-11T10:39:00Z</dcterms:created>
  <dcterms:modified xsi:type="dcterms:W3CDTF">2013-11-11T10:39:00Z</dcterms:modified>
</cp:coreProperties>
</file>