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0D" w:rsidRPr="00F40975" w:rsidRDefault="0031690D" w:rsidP="00F40975">
      <w:pPr>
        <w:spacing w:line="240" w:lineRule="auto"/>
        <w:rPr>
          <w:sz w:val="24"/>
          <w:szCs w:val="24"/>
          <w:rtl/>
        </w:rPr>
      </w:pPr>
      <w:r w:rsidRPr="00F40975">
        <w:rPr>
          <w:rFonts w:hint="cs"/>
          <w:b/>
          <w:bCs/>
          <w:sz w:val="24"/>
          <w:szCs w:val="24"/>
          <w:u w:val="single"/>
          <w:rtl/>
        </w:rPr>
        <w:t>هدف المقرر:</w:t>
      </w:r>
      <w:r w:rsidRPr="00F40975">
        <w:rPr>
          <w:rFonts w:hint="cs"/>
          <w:sz w:val="24"/>
          <w:szCs w:val="24"/>
          <w:rtl/>
        </w:rPr>
        <w:t xml:space="preserve"> يهدف هذا المقرر إلى تعميق فهم الطالبات نظرياً وتطبيقياً للمشاكل المحاسبية المختلفة المتعلقة بجانب الأصول. كذلك الإلمام بمعايير المحاسبة ذات الصلة. ويركز على جميع ما يتعلق بمحاسبة الأصول (الموجودات) وكيفية تقييمها وإظهارها في قائمة المركز المالي.</w:t>
      </w:r>
    </w:p>
    <w:p w:rsidR="0031690D" w:rsidRPr="00F40975" w:rsidRDefault="00F40975" w:rsidP="00F40975">
      <w:pPr>
        <w:spacing w:line="240" w:lineRule="auto"/>
        <w:rPr>
          <w:b/>
          <w:bCs/>
          <w:sz w:val="24"/>
          <w:szCs w:val="24"/>
          <w:u w:val="single"/>
          <w:rtl/>
        </w:rPr>
      </w:pPr>
      <w:r w:rsidRPr="00F40975">
        <w:rPr>
          <w:rFonts w:hint="cs"/>
          <w:b/>
          <w:bCs/>
          <w:sz w:val="24"/>
          <w:szCs w:val="24"/>
          <w:u w:val="single"/>
          <w:rtl/>
        </w:rPr>
        <w:t xml:space="preserve">المراجع: </w:t>
      </w:r>
      <w:r w:rsidR="0031690D" w:rsidRPr="00F40975">
        <w:rPr>
          <w:rFonts w:hint="cs"/>
          <w:b/>
          <w:bCs/>
          <w:sz w:val="24"/>
          <w:szCs w:val="24"/>
          <w:rtl/>
        </w:rPr>
        <w:t>المرجع الرئيسي:</w:t>
      </w:r>
    </w:p>
    <w:p w:rsidR="0031690D" w:rsidRPr="00F40975" w:rsidRDefault="0031690D" w:rsidP="00F40975">
      <w:pPr>
        <w:spacing w:line="240" w:lineRule="auto"/>
        <w:rPr>
          <w:sz w:val="24"/>
          <w:szCs w:val="24"/>
          <w:rtl/>
        </w:rPr>
      </w:pPr>
      <w:r w:rsidRPr="00F40975">
        <w:rPr>
          <w:rFonts w:hint="cs"/>
          <w:sz w:val="24"/>
          <w:szCs w:val="24"/>
          <w:rtl/>
        </w:rPr>
        <w:t>كين لو، جورج فيشر، المحاسبة المتوسطة-الجزء الأول- إصدار الهيئة السعودية للمحاسبين القانونين الرياض 1438هـ.</w:t>
      </w:r>
    </w:p>
    <w:p w:rsidR="0031690D" w:rsidRPr="00F40975" w:rsidRDefault="0031690D" w:rsidP="00F40975">
      <w:pPr>
        <w:spacing w:line="240" w:lineRule="auto"/>
        <w:rPr>
          <w:b/>
          <w:bCs/>
          <w:sz w:val="24"/>
          <w:szCs w:val="24"/>
          <w:rtl/>
        </w:rPr>
      </w:pPr>
      <w:r w:rsidRPr="00F40975">
        <w:rPr>
          <w:rFonts w:hint="cs"/>
          <w:b/>
          <w:bCs/>
          <w:sz w:val="24"/>
          <w:szCs w:val="24"/>
          <w:rtl/>
        </w:rPr>
        <w:t>المراجع الإضافية:</w:t>
      </w:r>
    </w:p>
    <w:p w:rsidR="0031690D" w:rsidRPr="00F40975" w:rsidRDefault="0031690D" w:rsidP="00F40975">
      <w:pPr>
        <w:pStyle w:val="a6"/>
        <w:numPr>
          <w:ilvl w:val="0"/>
          <w:numId w:val="1"/>
        </w:numPr>
        <w:spacing w:line="240" w:lineRule="auto"/>
        <w:rPr>
          <w:sz w:val="24"/>
          <w:szCs w:val="24"/>
        </w:rPr>
      </w:pPr>
      <w:r w:rsidRPr="00F40975">
        <w:rPr>
          <w:rFonts w:hint="cs"/>
          <w:sz w:val="24"/>
          <w:szCs w:val="24"/>
          <w:rtl/>
        </w:rPr>
        <w:t>أهداف ومفاهيم المحاسبة و المعايير</w:t>
      </w:r>
      <w:r w:rsidR="00F40975">
        <w:rPr>
          <w:rFonts w:hint="cs"/>
          <w:sz w:val="24"/>
          <w:szCs w:val="24"/>
          <w:rtl/>
        </w:rPr>
        <w:t xml:space="preserve"> </w:t>
      </w:r>
      <w:r w:rsidRPr="00F40975">
        <w:rPr>
          <w:rFonts w:hint="cs"/>
          <w:sz w:val="24"/>
          <w:szCs w:val="24"/>
          <w:rtl/>
        </w:rPr>
        <w:t>السعودية ذات العلاقة.</w:t>
      </w:r>
    </w:p>
    <w:p w:rsidR="0031690D" w:rsidRPr="00F40975" w:rsidRDefault="0031690D" w:rsidP="00F40975">
      <w:pPr>
        <w:pStyle w:val="a6"/>
        <w:numPr>
          <w:ilvl w:val="0"/>
          <w:numId w:val="2"/>
        </w:numPr>
        <w:spacing w:line="240" w:lineRule="auto"/>
        <w:rPr>
          <w:sz w:val="24"/>
          <w:szCs w:val="24"/>
        </w:rPr>
      </w:pPr>
      <w:r w:rsidRPr="00F40975">
        <w:rPr>
          <w:rFonts w:hint="cs"/>
          <w:sz w:val="24"/>
          <w:szCs w:val="24"/>
          <w:rtl/>
        </w:rPr>
        <w:t>معيار المخزون السلعي.</w:t>
      </w:r>
    </w:p>
    <w:p w:rsidR="0031690D" w:rsidRPr="00F40975" w:rsidRDefault="0031690D" w:rsidP="00F40975">
      <w:pPr>
        <w:pStyle w:val="a6"/>
        <w:numPr>
          <w:ilvl w:val="0"/>
          <w:numId w:val="2"/>
        </w:numPr>
        <w:spacing w:line="240" w:lineRule="auto"/>
        <w:rPr>
          <w:sz w:val="24"/>
          <w:szCs w:val="24"/>
        </w:rPr>
      </w:pPr>
      <w:r w:rsidRPr="00F40975">
        <w:rPr>
          <w:rFonts w:hint="cs"/>
          <w:sz w:val="24"/>
          <w:szCs w:val="24"/>
          <w:rtl/>
        </w:rPr>
        <w:t>معيار الأصول الثابتة.</w:t>
      </w:r>
    </w:p>
    <w:p w:rsidR="0031690D" w:rsidRPr="00F40975" w:rsidRDefault="0031690D" w:rsidP="00F40975">
      <w:pPr>
        <w:pStyle w:val="a6"/>
        <w:numPr>
          <w:ilvl w:val="0"/>
          <w:numId w:val="2"/>
        </w:numPr>
        <w:spacing w:line="240" w:lineRule="auto"/>
        <w:rPr>
          <w:sz w:val="24"/>
          <w:szCs w:val="24"/>
        </w:rPr>
      </w:pPr>
      <w:r w:rsidRPr="00F40975">
        <w:rPr>
          <w:rFonts w:hint="cs"/>
          <w:sz w:val="24"/>
          <w:szCs w:val="24"/>
          <w:rtl/>
        </w:rPr>
        <w:t>معيار الأصول غير الملموسة.</w:t>
      </w:r>
    </w:p>
    <w:p w:rsidR="0031690D" w:rsidRPr="00F40975" w:rsidRDefault="0031690D" w:rsidP="00F40975">
      <w:pPr>
        <w:pStyle w:val="a6"/>
        <w:numPr>
          <w:ilvl w:val="0"/>
          <w:numId w:val="2"/>
        </w:numPr>
        <w:spacing w:line="240" w:lineRule="auto"/>
        <w:rPr>
          <w:sz w:val="24"/>
          <w:szCs w:val="24"/>
        </w:rPr>
      </w:pPr>
      <w:r w:rsidRPr="00F40975">
        <w:rPr>
          <w:rFonts w:hint="cs"/>
          <w:sz w:val="24"/>
          <w:szCs w:val="24"/>
          <w:rtl/>
        </w:rPr>
        <w:t>معيار المحاسبة عن الاستثمارات.</w:t>
      </w:r>
    </w:p>
    <w:p w:rsidR="0031690D" w:rsidRPr="00F40975" w:rsidRDefault="0031690D" w:rsidP="00F40975">
      <w:pPr>
        <w:pStyle w:val="a6"/>
        <w:numPr>
          <w:ilvl w:val="0"/>
          <w:numId w:val="1"/>
        </w:numPr>
        <w:spacing w:line="240" w:lineRule="auto"/>
        <w:rPr>
          <w:sz w:val="24"/>
          <w:szCs w:val="24"/>
        </w:rPr>
      </w:pPr>
      <w:r w:rsidRPr="00F40975">
        <w:rPr>
          <w:rFonts w:hint="cs"/>
          <w:sz w:val="24"/>
          <w:szCs w:val="24"/>
          <w:rtl/>
        </w:rPr>
        <w:t xml:space="preserve">المحاسبة المتوسطة، دونالد كيسو, جيري </w:t>
      </w:r>
      <w:proofErr w:type="spellStart"/>
      <w:r w:rsidR="00EA55A7" w:rsidRPr="00F40975">
        <w:rPr>
          <w:rFonts w:hint="cs"/>
          <w:sz w:val="24"/>
          <w:szCs w:val="24"/>
          <w:rtl/>
        </w:rPr>
        <w:t>ويجانت</w:t>
      </w:r>
      <w:proofErr w:type="spellEnd"/>
      <w:r w:rsidR="00EA55A7" w:rsidRPr="00F40975">
        <w:rPr>
          <w:rFonts w:hint="cs"/>
          <w:sz w:val="24"/>
          <w:szCs w:val="24"/>
          <w:rtl/>
        </w:rPr>
        <w:t xml:space="preserve">، ترجمة: </w:t>
      </w:r>
      <w:proofErr w:type="spellStart"/>
      <w:r w:rsidR="00EA55A7" w:rsidRPr="00F40975">
        <w:rPr>
          <w:rFonts w:hint="cs"/>
          <w:sz w:val="24"/>
          <w:szCs w:val="24"/>
          <w:rtl/>
        </w:rPr>
        <w:t>د.حجاج</w:t>
      </w:r>
      <w:proofErr w:type="spellEnd"/>
      <w:r w:rsidR="00EA55A7" w:rsidRPr="00F40975">
        <w:rPr>
          <w:rFonts w:hint="cs"/>
          <w:sz w:val="24"/>
          <w:szCs w:val="24"/>
          <w:rtl/>
        </w:rPr>
        <w:t>، دار المريخ للنشر. (1999م) - الطبعة العربية الثانية.</w:t>
      </w:r>
    </w:p>
    <w:p w:rsidR="00EA55A7" w:rsidRPr="00F40975" w:rsidRDefault="00EA55A7" w:rsidP="00F40975">
      <w:pPr>
        <w:pStyle w:val="a6"/>
        <w:numPr>
          <w:ilvl w:val="0"/>
          <w:numId w:val="1"/>
        </w:numPr>
        <w:spacing w:line="240" w:lineRule="auto"/>
        <w:rPr>
          <w:sz w:val="24"/>
          <w:szCs w:val="24"/>
        </w:rPr>
      </w:pPr>
      <w:r w:rsidRPr="00F40975">
        <w:rPr>
          <w:rFonts w:hint="cs"/>
          <w:sz w:val="24"/>
          <w:szCs w:val="24"/>
          <w:rtl/>
        </w:rPr>
        <w:t xml:space="preserve">نظرية المحاسبة، </w:t>
      </w:r>
      <w:proofErr w:type="spellStart"/>
      <w:r w:rsidRPr="00F40975">
        <w:rPr>
          <w:rFonts w:hint="cs"/>
          <w:sz w:val="24"/>
          <w:szCs w:val="24"/>
          <w:rtl/>
        </w:rPr>
        <w:t>أ.د</w:t>
      </w:r>
      <w:proofErr w:type="spellEnd"/>
      <w:r w:rsidRPr="00F40975">
        <w:rPr>
          <w:rFonts w:hint="cs"/>
          <w:sz w:val="24"/>
          <w:szCs w:val="24"/>
          <w:rtl/>
        </w:rPr>
        <w:t>. عبد الرحمن الحميد، مكتبة العبيكان.</w:t>
      </w:r>
    </w:p>
    <w:p w:rsidR="00EA55A7" w:rsidRPr="00F40975" w:rsidRDefault="00EA55A7" w:rsidP="00F40975">
      <w:pPr>
        <w:spacing w:line="240" w:lineRule="auto"/>
        <w:rPr>
          <w:b/>
          <w:bCs/>
          <w:sz w:val="24"/>
          <w:szCs w:val="24"/>
          <w:u w:val="single"/>
          <w:rtl/>
        </w:rPr>
      </w:pPr>
      <w:r w:rsidRPr="00F40975">
        <w:rPr>
          <w:rFonts w:hint="cs"/>
          <w:b/>
          <w:bCs/>
          <w:sz w:val="24"/>
          <w:szCs w:val="24"/>
          <w:u w:val="single"/>
          <w:rtl/>
        </w:rPr>
        <w:t>محتويات المقرر و الوقت المتوقع لمناقشتها:</w:t>
      </w:r>
    </w:p>
    <w:tbl>
      <w:tblPr>
        <w:tblStyle w:val="a5"/>
        <w:bidiVisual/>
        <w:tblW w:w="0" w:type="auto"/>
        <w:tblLook w:val="04A0" w:firstRow="1" w:lastRow="0" w:firstColumn="1" w:lastColumn="0" w:noHBand="0" w:noVBand="1"/>
      </w:tblPr>
      <w:tblGrid>
        <w:gridCol w:w="1326"/>
        <w:gridCol w:w="2410"/>
        <w:gridCol w:w="4786"/>
      </w:tblGrid>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الأسبوع</w:t>
            </w:r>
          </w:p>
        </w:tc>
        <w:tc>
          <w:tcPr>
            <w:tcW w:w="2410" w:type="dxa"/>
          </w:tcPr>
          <w:p w:rsidR="00EA55A7" w:rsidRPr="00F40975" w:rsidRDefault="00EA55A7" w:rsidP="00F40975">
            <w:pPr>
              <w:rPr>
                <w:sz w:val="24"/>
                <w:szCs w:val="24"/>
                <w:rtl/>
              </w:rPr>
            </w:pPr>
            <w:r w:rsidRPr="00F40975">
              <w:rPr>
                <w:rFonts w:hint="cs"/>
                <w:sz w:val="24"/>
                <w:szCs w:val="24"/>
                <w:rtl/>
              </w:rPr>
              <w:t>الفصل في المرجع الأول</w:t>
            </w:r>
          </w:p>
        </w:tc>
        <w:tc>
          <w:tcPr>
            <w:tcW w:w="4786" w:type="dxa"/>
          </w:tcPr>
          <w:p w:rsidR="00EA55A7" w:rsidRPr="00F40975" w:rsidRDefault="00EA55A7" w:rsidP="00F40975">
            <w:pPr>
              <w:rPr>
                <w:sz w:val="24"/>
                <w:szCs w:val="24"/>
                <w:rtl/>
              </w:rPr>
            </w:pPr>
            <w:r w:rsidRPr="00F40975">
              <w:rPr>
                <w:rFonts w:hint="cs"/>
                <w:sz w:val="24"/>
                <w:szCs w:val="24"/>
                <w:rtl/>
              </w:rPr>
              <w:t>الموضوع</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الأول</w:t>
            </w:r>
          </w:p>
        </w:tc>
        <w:tc>
          <w:tcPr>
            <w:tcW w:w="2410" w:type="dxa"/>
          </w:tcPr>
          <w:p w:rsidR="00EA55A7" w:rsidRPr="00F40975" w:rsidRDefault="00EA55A7" w:rsidP="00F40975">
            <w:pPr>
              <w:rPr>
                <w:sz w:val="24"/>
                <w:szCs w:val="24"/>
                <w:rtl/>
              </w:rPr>
            </w:pPr>
            <w:r w:rsidRPr="00F40975">
              <w:rPr>
                <w:rFonts w:hint="cs"/>
                <w:sz w:val="24"/>
                <w:szCs w:val="24"/>
                <w:rtl/>
              </w:rPr>
              <w:t>الأول</w:t>
            </w:r>
          </w:p>
        </w:tc>
        <w:tc>
          <w:tcPr>
            <w:tcW w:w="4786" w:type="dxa"/>
          </w:tcPr>
          <w:p w:rsidR="00EA55A7" w:rsidRPr="00F40975" w:rsidRDefault="00EA55A7" w:rsidP="00F40975">
            <w:pPr>
              <w:rPr>
                <w:sz w:val="24"/>
                <w:szCs w:val="24"/>
                <w:rtl/>
              </w:rPr>
            </w:pPr>
            <w:r w:rsidRPr="00F40975">
              <w:rPr>
                <w:rFonts w:hint="cs"/>
                <w:sz w:val="24"/>
                <w:szCs w:val="24"/>
                <w:rtl/>
              </w:rPr>
              <w:t>أساسيات نظرية المحاسبة</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الثاني</w:t>
            </w:r>
          </w:p>
        </w:tc>
        <w:tc>
          <w:tcPr>
            <w:tcW w:w="2410" w:type="dxa"/>
          </w:tcPr>
          <w:p w:rsidR="00EA55A7" w:rsidRPr="00F40975" w:rsidRDefault="00EA55A7" w:rsidP="00F40975">
            <w:pPr>
              <w:rPr>
                <w:sz w:val="24"/>
                <w:szCs w:val="24"/>
                <w:rtl/>
              </w:rPr>
            </w:pPr>
            <w:r w:rsidRPr="00F40975">
              <w:rPr>
                <w:rFonts w:hint="cs"/>
                <w:sz w:val="24"/>
                <w:szCs w:val="24"/>
                <w:rtl/>
              </w:rPr>
              <w:t>الثاني</w:t>
            </w:r>
          </w:p>
        </w:tc>
        <w:tc>
          <w:tcPr>
            <w:tcW w:w="4786" w:type="dxa"/>
          </w:tcPr>
          <w:p w:rsidR="00EA55A7" w:rsidRPr="00F40975" w:rsidRDefault="00EA55A7" w:rsidP="00F40975">
            <w:pPr>
              <w:rPr>
                <w:sz w:val="24"/>
                <w:szCs w:val="24"/>
                <w:rtl/>
              </w:rPr>
            </w:pPr>
            <w:r w:rsidRPr="00F40975">
              <w:rPr>
                <w:rFonts w:hint="cs"/>
                <w:sz w:val="24"/>
                <w:szCs w:val="24"/>
                <w:rtl/>
              </w:rPr>
              <w:t>الإطار الفكري للمحاسبة المالية</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الثالث</w:t>
            </w:r>
          </w:p>
        </w:tc>
        <w:tc>
          <w:tcPr>
            <w:tcW w:w="2410" w:type="dxa"/>
          </w:tcPr>
          <w:p w:rsidR="00EA55A7" w:rsidRPr="00F40975" w:rsidRDefault="00EA55A7" w:rsidP="00F40975">
            <w:pPr>
              <w:rPr>
                <w:sz w:val="24"/>
                <w:szCs w:val="24"/>
                <w:rtl/>
              </w:rPr>
            </w:pPr>
            <w:r w:rsidRPr="00F40975">
              <w:rPr>
                <w:rFonts w:hint="cs"/>
                <w:sz w:val="24"/>
                <w:szCs w:val="24"/>
                <w:rtl/>
              </w:rPr>
              <w:t>الثالث</w:t>
            </w:r>
          </w:p>
        </w:tc>
        <w:tc>
          <w:tcPr>
            <w:tcW w:w="4786" w:type="dxa"/>
          </w:tcPr>
          <w:p w:rsidR="00EA55A7" w:rsidRPr="00F40975" w:rsidRDefault="00EA55A7" w:rsidP="00F40975">
            <w:pPr>
              <w:rPr>
                <w:sz w:val="24"/>
                <w:szCs w:val="24"/>
                <w:rtl/>
              </w:rPr>
            </w:pPr>
            <w:r w:rsidRPr="00F40975">
              <w:rPr>
                <w:rFonts w:hint="cs"/>
                <w:sz w:val="24"/>
                <w:szCs w:val="24"/>
                <w:rtl/>
              </w:rPr>
              <w:t>الإطار العام للتقارير المالية</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الرابع</w:t>
            </w:r>
          </w:p>
        </w:tc>
        <w:tc>
          <w:tcPr>
            <w:tcW w:w="2410" w:type="dxa"/>
          </w:tcPr>
          <w:p w:rsidR="00EA55A7" w:rsidRPr="00F40975" w:rsidRDefault="00EA55A7" w:rsidP="00F40975">
            <w:pPr>
              <w:rPr>
                <w:sz w:val="24"/>
                <w:szCs w:val="24"/>
                <w:rtl/>
              </w:rPr>
            </w:pPr>
            <w:r w:rsidRPr="00F40975">
              <w:rPr>
                <w:rFonts w:hint="cs"/>
                <w:sz w:val="24"/>
                <w:szCs w:val="24"/>
                <w:rtl/>
              </w:rPr>
              <w:t>الخامس</w:t>
            </w:r>
          </w:p>
        </w:tc>
        <w:tc>
          <w:tcPr>
            <w:tcW w:w="4786" w:type="dxa"/>
          </w:tcPr>
          <w:p w:rsidR="00EA55A7" w:rsidRPr="00F40975" w:rsidRDefault="00EA55A7" w:rsidP="00F40975">
            <w:pPr>
              <w:rPr>
                <w:sz w:val="24"/>
                <w:szCs w:val="24"/>
                <w:rtl/>
              </w:rPr>
            </w:pPr>
            <w:r w:rsidRPr="00F40975">
              <w:rPr>
                <w:rFonts w:hint="cs"/>
                <w:sz w:val="24"/>
                <w:szCs w:val="24"/>
                <w:rtl/>
              </w:rPr>
              <w:t>المحاسبة عن المدينون و أوراق القبض</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الخامس</w:t>
            </w:r>
          </w:p>
        </w:tc>
        <w:tc>
          <w:tcPr>
            <w:tcW w:w="2410" w:type="dxa"/>
          </w:tcPr>
          <w:p w:rsidR="00EA55A7" w:rsidRPr="00F40975" w:rsidRDefault="00EA55A7" w:rsidP="00F40975">
            <w:pPr>
              <w:rPr>
                <w:sz w:val="24"/>
                <w:szCs w:val="24"/>
                <w:rtl/>
              </w:rPr>
            </w:pPr>
            <w:r w:rsidRPr="00F40975">
              <w:rPr>
                <w:rFonts w:hint="cs"/>
                <w:sz w:val="24"/>
                <w:szCs w:val="24"/>
                <w:rtl/>
              </w:rPr>
              <w:t>الخامس</w:t>
            </w:r>
          </w:p>
        </w:tc>
        <w:tc>
          <w:tcPr>
            <w:tcW w:w="4786" w:type="dxa"/>
          </w:tcPr>
          <w:p w:rsidR="00EA55A7" w:rsidRPr="00F40975" w:rsidRDefault="00EA55A7" w:rsidP="00F40975">
            <w:pPr>
              <w:rPr>
                <w:sz w:val="24"/>
                <w:szCs w:val="24"/>
                <w:rtl/>
              </w:rPr>
            </w:pPr>
            <w:r w:rsidRPr="00F40975">
              <w:rPr>
                <w:rFonts w:hint="cs"/>
                <w:sz w:val="24"/>
                <w:szCs w:val="24"/>
                <w:rtl/>
              </w:rPr>
              <w:t>المحاسبة عن المدينون و أوراق القبض</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السادس</w:t>
            </w:r>
          </w:p>
        </w:tc>
        <w:tc>
          <w:tcPr>
            <w:tcW w:w="2410" w:type="dxa"/>
          </w:tcPr>
          <w:p w:rsidR="00EA55A7" w:rsidRPr="00F40975" w:rsidRDefault="00EA55A7" w:rsidP="00F40975">
            <w:pPr>
              <w:rPr>
                <w:sz w:val="24"/>
                <w:szCs w:val="24"/>
                <w:rtl/>
              </w:rPr>
            </w:pPr>
            <w:r w:rsidRPr="00F40975">
              <w:rPr>
                <w:rFonts w:hint="cs"/>
                <w:sz w:val="24"/>
                <w:szCs w:val="24"/>
                <w:rtl/>
              </w:rPr>
              <w:t>السادس</w:t>
            </w:r>
          </w:p>
        </w:tc>
        <w:tc>
          <w:tcPr>
            <w:tcW w:w="4786" w:type="dxa"/>
          </w:tcPr>
          <w:p w:rsidR="00EA55A7" w:rsidRPr="00F40975" w:rsidRDefault="00EA55A7" w:rsidP="00F40975">
            <w:pPr>
              <w:rPr>
                <w:sz w:val="24"/>
                <w:szCs w:val="24"/>
              </w:rPr>
            </w:pPr>
            <w:r w:rsidRPr="00F40975">
              <w:rPr>
                <w:rFonts w:hint="cs"/>
                <w:sz w:val="24"/>
                <w:szCs w:val="24"/>
                <w:rtl/>
              </w:rPr>
              <w:t xml:space="preserve">المحاسبة عن المخزون </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السابع</w:t>
            </w:r>
          </w:p>
        </w:tc>
        <w:tc>
          <w:tcPr>
            <w:tcW w:w="2410" w:type="dxa"/>
          </w:tcPr>
          <w:p w:rsidR="00EA55A7" w:rsidRPr="00F40975" w:rsidRDefault="00EA55A7" w:rsidP="00F40975">
            <w:pPr>
              <w:rPr>
                <w:sz w:val="24"/>
                <w:szCs w:val="24"/>
                <w:rtl/>
              </w:rPr>
            </w:pPr>
            <w:r w:rsidRPr="00F40975">
              <w:rPr>
                <w:rFonts w:hint="cs"/>
                <w:sz w:val="24"/>
                <w:szCs w:val="24"/>
                <w:rtl/>
              </w:rPr>
              <w:t>الثامن</w:t>
            </w:r>
          </w:p>
        </w:tc>
        <w:tc>
          <w:tcPr>
            <w:tcW w:w="4786" w:type="dxa"/>
          </w:tcPr>
          <w:p w:rsidR="00EA55A7" w:rsidRPr="00F40975" w:rsidRDefault="00EA55A7" w:rsidP="00F40975">
            <w:pPr>
              <w:rPr>
                <w:sz w:val="24"/>
                <w:szCs w:val="24"/>
                <w:rtl/>
              </w:rPr>
            </w:pPr>
            <w:r w:rsidRPr="00F40975">
              <w:rPr>
                <w:rFonts w:hint="cs"/>
                <w:sz w:val="24"/>
                <w:szCs w:val="24"/>
                <w:rtl/>
              </w:rPr>
              <w:t xml:space="preserve">العقارات و المعدات و الآلات </w:t>
            </w:r>
            <w:r w:rsidRPr="00F40975">
              <w:rPr>
                <w:sz w:val="24"/>
                <w:szCs w:val="24"/>
              </w:rPr>
              <w:t>PPE</w:t>
            </w:r>
          </w:p>
        </w:tc>
      </w:tr>
      <w:tr w:rsidR="00EA55A7" w:rsidRPr="00F40975" w:rsidTr="00F40975">
        <w:tc>
          <w:tcPr>
            <w:tcW w:w="1326" w:type="dxa"/>
          </w:tcPr>
          <w:p w:rsidR="00EA55A7" w:rsidRPr="00F40975" w:rsidRDefault="00EA55A7" w:rsidP="00F40975">
            <w:pPr>
              <w:rPr>
                <w:sz w:val="24"/>
                <w:szCs w:val="24"/>
                <w:rtl/>
              </w:rPr>
            </w:pPr>
            <w:r w:rsidRPr="00F40975">
              <w:rPr>
                <w:rFonts w:hint="cs"/>
                <w:sz w:val="24"/>
                <w:szCs w:val="24"/>
                <w:rtl/>
              </w:rPr>
              <w:t>الثامن</w:t>
            </w:r>
          </w:p>
        </w:tc>
        <w:tc>
          <w:tcPr>
            <w:tcW w:w="2410" w:type="dxa"/>
          </w:tcPr>
          <w:p w:rsidR="00EA55A7" w:rsidRPr="00F40975" w:rsidRDefault="00EA55A7" w:rsidP="00F40975">
            <w:pPr>
              <w:rPr>
                <w:sz w:val="24"/>
                <w:szCs w:val="24"/>
                <w:rtl/>
              </w:rPr>
            </w:pPr>
            <w:r w:rsidRPr="00F40975">
              <w:rPr>
                <w:rFonts w:hint="cs"/>
                <w:sz w:val="24"/>
                <w:szCs w:val="24"/>
                <w:rtl/>
              </w:rPr>
              <w:t>الثامن</w:t>
            </w:r>
          </w:p>
        </w:tc>
        <w:tc>
          <w:tcPr>
            <w:tcW w:w="4786" w:type="dxa"/>
          </w:tcPr>
          <w:p w:rsidR="00EA55A7" w:rsidRPr="00F40975" w:rsidRDefault="00EA55A7" w:rsidP="00F40975">
            <w:pPr>
              <w:rPr>
                <w:sz w:val="24"/>
                <w:szCs w:val="24"/>
                <w:rtl/>
              </w:rPr>
            </w:pPr>
            <w:r w:rsidRPr="00F40975">
              <w:rPr>
                <w:rFonts w:hint="cs"/>
                <w:sz w:val="24"/>
                <w:szCs w:val="24"/>
                <w:rtl/>
              </w:rPr>
              <w:t xml:space="preserve">العقارات و المعدات و الآلات </w:t>
            </w:r>
            <w:r w:rsidRPr="00F40975">
              <w:rPr>
                <w:sz w:val="24"/>
                <w:szCs w:val="24"/>
              </w:rPr>
              <w:t>PPE</w:t>
            </w:r>
          </w:p>
        </w:tc>
      </w:tr>
      <w:tr w:rsidR="004D3E46" w:rsidRPr="00F40975" w:rsidTr="00F40975">
        <w:tc>
          <w:tcPr>
            <w:tcW w:w="1326" w:type="dxa"/>
          </w:tcPr>
          <w:p w:rsidR="004D3E46" w:rsidRPr="00F40975" w:rsidRDefault="004D3E46" w:rsidP="00F40975">
            <w:pPr>
              <w:rPr>
                <w:sz w:val="24"/>
                <w:szCs w:val="24"/>
                <w:rtl/>
              </w:rPr>
            </w:pPr>
            <w:r>
              <w:rPr>
                <w:rFonts w:hint="cs"/>
                <w:sz w:val="24"/>
                <w:szCs w:val="24"/>
                <w:rtl/>
              </w:rPr>
              <w:t>التاسع</w:t>
            </w:r>
          </w:p>
        </w:tc>
        <w:tc>
          <w:tcPr>
            <w:tcW w:w="2410" w:type="dxa"/>
          </w:tcPr>
          <w:p w:rsidR="004D3E46" w:rsidRPr="00F40975" w:rsidRDefault="004D3E46" w:rsidP="00080498">
            <w:pPr>
              <w:rPr>
                <w:sz w:val="24"/>
                <w:szCs w:val="24"/>
                <w:rtl/>
              </w:rPr>
            </w:pPr>
            <w:r w:rsidRPr="00F40975">
              <w:rPr>
                <w:rFonts w:hint="cs"/>
                <w:sz w:val="24"/>
                <w:szCs w:val="24"/>
                <w:rtl/>
              </w:rPr>
              <w:t>العاشر</w:t>
            </w:r>
          </w:p>
        </w:tc>
        <w:tc>
          <w:tcPr>
            <w:tcW w:w="4786" w:type="dxa"/>
          </w:tcPr>
          <w:p w:rsidR="004D3E46" w:rsidRPr="00F40975" w:rsidRDefault="004D3E46" w:rsidP="00080498">
            <w:pPr>
              <w:rPr>
                <w:sz w:val="24"/>
                <w:szCs w:val="24"/>
                <w:rtl/>
              </w:rPr>
            </w:pPr>
            <w:r w:rsidRPr="00F40975">
              <w:rPr>
                <w:rFonts w:hint="cs"/>
                <w:sz w:val="24"/>
                <w:szCs w:val="24"/>
                <w:rtl/>
              </w:rPr>
              <w:t>تطبيقات القيمة العادلة على الأصول غير المتداولة</w:t>
            </w:r>
          </w:p>
        </w:tc>
      </w:tr>
      <w:tr w:rsidR="004D3E46" w:rsidRPr="00F40975" w:rsidTr="00F40975">
        <w:tc>
          <w:tcPr>
            <w:tcW w:w="1326" w:type="dxa"/>
          </w:tcPr>
          <w:p w:rsidR="004D3E46" w:rsidRPr="00F40975" w:rsidRDefault="004D3E46" w:rsidP="00F40975">
            <w:pPr>
              <w:rPr>
                <w:sz w:val="24"/>
                <w:szCs w:val="24"/>
                <w:rtl/>
              </w:rPr>
            </w:pPr>
            <w:r>
              <w:rPr>
                <w:rFonts w:hint="cs"/>
                <w:sz w:val="24"/>
                <w:szCs w:val="24"/>
                <w:rtl/>
              </w:rPr>
              <w:t>العاشر</w:t>
            </w:r>
          </w:p>
        </w:tc>
        <w:tc>
          <w:tcPr>
            <w:tcW w:w="2410" w:type="dxa"/>
          </w:tcPr>
          <w:p w:rsidR="004D3E46" w:rsidRPr="00F40975" w:rsidRDefault="004D3E46" w:rsidP="00F40975">
            <w:pPr>
              <w:rPr>
                <w:sz w:val="24"/>
                <w:szCs w:val="24"/>
                <w:rtl/>
              </w:rPr>
            </w:pPr>
            <w:r w:rsidRPr="00F40975">
              <w:rPr>
                <w:rFonts w:hint="cs"/>
                <w:sz w:val="24"/>
                <w:szCs w:val="24"/>
                <w:rtl/>
              </w:rPr>
              <w:t>السابع</w:t>
            </w:r>
          </w:p>
        </w:tc>
        <w:tc>
          <w:tcPr>
            <w:tcW w:w="4786" w:type="dxa"/>
          </w:tcPr>
          <w:p w:rsidR="004D3E46" w:rsidRPr="00F40975" w:rsidRDefault="004D3E46" w:rsidP="00F40975">
            <w:pPr>
              <w:rPr>
                <w:sz w:val="24"/>
                <w:szCs w:val="24"/>
                <w:rtl/>
              </w:rPr>
            </w:pPr>
            <w:r w:rsidRPr="00F40975">
              <w:rPr>
                <w:rFonts w:hint="cs"/>
                <w:sz w:val="24"/>
                <w:szCs w:val="24"/>
                <w:rtl/>
              </w:rPr>
              <w:t>الأصول المالية</w:t>
            </w:r>
          </w:p>
        </w:tc>
      </w:tr>
      <w:tr w:rsidR="004D3E46" w:rsidRPr="00F40975" w:rsidTr="00F40975">
        <w:tc>
          <w:tcPr>
            <w:tcW w:w="1326" w:type="dxa"/>
          </w:tcPr>
          <w:p w:rsidR="004D3E46" w:rsidRPr="00F40975" w:rsidRDefault="004D3E46" w:rsidP="00F40975">
            <w:pPr>
              <w:rPr>
                <w:sz w:val="24"/>
                <w:szCs w:val="24"/>
                <w:rtl/>
              </w:rPr>
            </w:pPr>
            <w:r>
              <w:rPr>
                <w:rFonts w:hint="cs"/>
                <w:sz w:val="24"/>
                <w:szCs w:val="24"/>
                <w:rtl/>
              </w:rPr>
              <w:t>الحادي عشر</w:t>
            </w:r>
          </w:p>
        </w:tc>
        <w:tc>
          <w:tcPr>
            <w:tcW w:w="2410" w:type="dxa"/>
          </w:tcPr>
          <w:p w:rsidR="004D3E46" w:rsidRPr="00F40975" w:rsidRDefault="004D3E46" w:rsidP="00F40975">
            <w:pPr>
              <w:rPr>
                <w:sz w:val="24"/>
                <w:szCs w:val="24"/>
                <w:rtl/>
              </w:rPr>
            </w:pPr>
            <w:r w:rsidRPr="00F40975">
              <w:rPr>
                <w:rFonts w:hint="cs"/>
                <w:sz w:val="24"/>
                <w:szCs w:val="24"/>
                <w:rtl/>
              </w:rPr>
              <w:t>التاسع</w:t>
            </w:r>
          </w:p>
        </w:tc>
        <w:tc>
          <w:tcPr>
            <w:tcW w:w="4786" w:type="dxa"/>
          </w:tcPr>
          <w:p w:rsidR="004D3E46" w:rsidRPr="00F40975" w:rsidRDefault="004D3E46" w:rsidP="00F40975">
            <w:pPr>
              <w:rPr>
                <w:sz w:val="24"/>
                <w:szCs w:val="24"/>
                <w:rtl/>
              </w:rPr>
            </w:pPr>
            <w:r w:rsidRPr="00F40975">
              <w:rPr>
                <w:rFonts w:hint="cs"/>
                <w:sz w:val="24"/>
                <w:szCs w:val="24"/>
                <w:rtl/>
              </w:rPr>
              <w:t>الأصول غير الملوسة والشهرة والمواد المعدنية و المنح الحكومية</w:t>
            </w:r>
          </w:p>
        </w:tc>
      </w:tr>
    </w:tbl>
    <w:p w:rsidR="00EA55A7" w:rsidRPr="00F40975" w:rsidRDefault="00EA55A7" w:rsidP="00F40975">
      <w:pPr>
        <w:spacing w:line="240" w:lineRule="auto"/>
        <w:rPr>
          <w:sz w:val="24"/>
          <w:szCs w:val="24"/>
          <w:rtl/>
        </w:rPr>
      </w:pPr>
    </w:p>
    <w:p w:rsidR="00B1752E" w:rsidRPr="00F40975" w:rsidRDefault="00B1752E" w:rsidP="00F40975">
      <w:pPr>
        <w:spacing w:line="240" w:lineRule="auto"/>
        <w:rPr>
          <w:b/>
          <w:bCs/>
          <w:sz w:val="24"/>
          <w:szCs w:val="24"/>
          <w:rtl/>
        </w:rPr>
      </w:pPr>
      <w:r w:rsidRPr="00F40975">
        <w:rPr>
          <w:rFonts w:hint="cs"/>
          <w:b/>
          <w:bCs/>
          <w:sz w:val="24"/>
          <w:szCs w:val="24"/>
          <w:u w:val="single"/>
          <w:rtl/>
        </w:rPr>
        <w:t>أساس تقويم الطالبة:</w:t>
      </w:r>
      <w:r w:rsidRPr="00F40975">
        <w:rPr>
          <w:rFonts w:hint="cs"/>
          <w:b/>
          <w:bCs/>
          <w:sz w:val="24"/>
          <w:szCs w:val="24"/>
          <w:rtl/>
        </w:rPr>
        <w:t xml:space="preserve"> سيتم تقويم أداء الطالبة في هذا المقرر كالآتي:</w:t>
      </w:r>
    </w:p>
    <w:tbl>
      <w:tblPr>
        <w:tblStyle w:val="a5"/>
        <w:bidiVisual/>
        <w:tblW w:w="0" w:type="auto"/>
        <w:tblLook w:val="04A0" w:firstRow="1" w:lastRow="0" w:firstColumn="1" w:lastColumn="0" w:noHBand="0" w:noVBand="1"/>
      </w:tblPr>
      <w:tblGrid>
        <w:gridCol w:w="1893"/>
        <w:gridCol w:w="3923"/>
        <w:gridCol w:w="2706"/>
      </w:tblGrid>
      <w:tr w:rsidR="00B1752E" w:rsidRPr="00F40975" w:rsidTr="00B1752E">
        <w:tc>
          <w:tcPr>
            <w:tcW w:w="1893" w:type="dxa"/>
          </w:tcPr>
          <w:p w:rsidR="00B1752E" w:rsidRPr="00F40975" w:rsidRDefault="00B1752E" w:rsidP="00F40975">
            <w:pPr>
              <w:rPr>
                <w:sz w:val="24"/>
                <w:szCs w:val="24"/>
                <w:rtl/>
              </w:rPr>
            </w:pPr>
            <w:r w:rsidRPr="00F40975">
              <w:rPr>
                <w:rFonts w:hint="cs"/>
                <w:sz w:val="24"/>
                <w:szCs w:val="24"/>
                <w:rtl/>
              </w:rPr>
              <w:t>الاختبار الفصلي الأول</w:t>
            </w:r>
          </w:p>
        </w:tc>
        <w:tc>
          <w:tcPr>
            <w:tcW w:w="3923" w:type="dxa"/>
          </w:tcPr>
          <w:p w:rsidR="00B1752E" w:rsidRPr="00F40975" w:rsidRDefault="000A1C8A" w:rsidP="00261CAC">
            <w:pPr>
              <w:rPr>
                <w:sz w:val="24"/>
                <w:szCs w:val="24"/>
                <w:rtl/>
              </w:rPr>
            </w:pPr>
            <w:r>
              <w:rPr>
                <w:rFonts w:hint="cs"/>
                <w:sz w:val="24"/>
                <w:szCs w:val="24"/>
                <w:rtl/>
              </w:rPr>
              <w:t xml:space="preserve"> </w:t>
            </w:r>
            <w:r w:rsidR="000A16A9">
              <w:rPr>
                <w:rFonts w:hint="cs"/>
                <w:sz w:val="24"/>
                <w:szCs w:val="24"/>
                <w:rtl/>
              </w:rPr>
              <w:t>1\3\2020 ---6\7\1441</w:t>
            </w:r>
          </w:p>
        </w:tc>
        <w:tc>
          <w:tcPr>
            <w:tcW w:w="2706" w:type="dxa"/>
          </w:tcPr>
          <w:p w:rsidR="00B1752E" w:rsidRPr="00F40975" w:rsidRDefault="00B1752E" w:rsidP="00F40975">
            <w:pPr>
              <w:rPr>
                <w:sz w:val="24"/>
                <w:szCs w:val="24"/>
                <w:rtl/>
              </w:rPr>
            </w:pPr>
            <w:r w:rsidRPr="00F40975">
              <w:rPr>
                <w:rFonts w:hint="cs"/>
                <w:sz w:val="24"/>
                <w:szCs w:val="24"/>
                <w:rtl/>
              </w:rPr>
              <w:t>25 درجة</w:t>
            </w:r>
          </w:p>
        </w:tc>
      </w:tr>
      <w:tr w:rsidR="00B1752E" w:rsidRPr="00F40975" w:rsidTr="00B1752E">
        <w:tc>
          <w:tcPr>
            <w:tcW w:w="1893" w:type="dxa"/>
          </w:tcPr>
          <w:p w:rsidR="00B1752E" w:rsidRPr="00F40975" w:rsidRDefault="00B1752E" w:rsidP="00F40975">
            <w:pPr>
              <w:rPr>
                <w:sz w:val="24"/>
                <w:szCs w:val="24"/>
                <w:rtl/>
              </w:rPr>
            </w:pPr>
            <w:r w:rsidRPr="00F40975">
              <w:rPr>
                <w:rFonts w:hint="cs"/>
                <w:sz w:val="24"/>
                <w:szCs w:val="24"/>
                <w:rtl/>
              </w:rPr>
              <w:t>الاختبار الفصلي الثاني</w:t>
            </w:r>
          </w:p>
        </w:tc>
        <w:tc>
          <w:tcPr>
            <w:tcW w:w="3923" w:type="dxa"/>
          </w:tcPr>
          <w:p w:rsidR="00B1752E" w:rsidRPr="00F40975" w:rsidRDefault="006D0D9A" w:rsidP="000A1C8A">
            <w:pPr>
              <w:rPr>
                <w:sz w:val="24"/>
                <w:szCs w:val="24"/>
                <w:rtl/>
              </w:rPr>
            </w:pPr>
            <w:r>
              <w:rPr>
                <w:rFonts w:hint="cs"/>
                <w:sz w:val="24"/>
                <w:szCs w:val="24"/>
                <w:rtl/>
              </w:rPr>
              <w:t xml:space="preserve"> </w:t>
            </w:r>
            <w:r w:rsidR="000A1C8A">
              <w:rPr>
                <w:rFonts w:hint="cs"/>
                <w:sz w:val="24"/>
                <w:szCs w:val="24"/>
                <w:rtl/>
              </w:rPr>
              <w:t xml:space="preserve"> </w:t>
            </w:r>
            <w:r w:rsidR="000A16A9">
              <w:rPr>
                <w:rFonts w:hint="cs"/>
                <w:sz w:val="24"/>
                <w:szCs w:val="24"/>
                <w:rtl/>
              </w:rPr>
              <w:t>9\4\2020--- 16\8\1441</w:t>
            </w:r>
          </w:p>
        </w:tc>
        <w:tc>
          <w:tcPr>
            <w:tcW w:w="2706" w:type="dxa"/>
          </w:tcPr>
          <w:p w:rsidR="00B1752E" w:rsidRPr="00F40975" w:rsidRDefault="00B1752E" w:rsidP="00F40975">
            <w:pPr>
              <w:rPr>
                <w:sz w:val="24"/>
                <w:szCs w:val="24"/>
                <w:rtl/>
              </w:rPr>
            </w:pPr>
            <w:r w:rsidRPr="00F40975">
              <w:rPr>
                <w:rFonts w:hint="cs"/>
                <w:sz w:val="24"/>
                <w:szCs w:val="24"/>
                <w:rtl/>
              </w:rPr>
              <w:t>25 درجة</w:t>
            </w:r>
          </w:p>
        </w:tc>
      </w:tr>
      <w:tr w:rsidR="00B1752E" w:rsidRPr="00F40975" w:rsidTr="002542D6">
        <w:tc>
          <w:tcPr>
            <w:tcW w:w="5816" w:type="dxa"/>
            <w:gridSpan w:val="2"/>
          </w:tcPr>
          <w:p w:rsidR="00B1752E" w:rsidRPr="00F40975" w:rsidRDefault="00B1752E" w:rsidP="00F40975">
            <w:pPr>
              <w:rPr>
                <w:sz w:val="24"/>
                <w:szCs w:val="24"/>
                <w:rtl/>
              </w:rPr>
            </w:pPr>
            <w:r w:rsidRPr="00F40975">
              <w:rPr>
                <w:rFonts w:hint="cs"/>
                <w:sz w:val="24"/>
                <w:szCs w:val="24"/>
                <w:rtl/>
              </w:rPr>
              <w:t>اختبارات قصيرة</w:t>
            </w:r>
            <w:r w:rsidR="000A16A9">
              <w:rPr>
                <w:rFonts w:hint="cs"/>
                <w:sz w:val="24"/>
                <w:szCs w:val="24"/>
                <w:rtl/>
              </w:rPr>
              <w:t xml:space="preserve"> وأنشطة </w:t>
            </w:r>
            <w:bookmarkStart w:id="0" w:name="_GoBack"/>
            <w:bookmarkEnd w:id="0"/>
          </w:p>
        </w:tc>
        <w:tc>
          <w:tcPr>
            <w:tcW w:w="2706" w:type="dxa"/>
          </w:tcPr>
          <w:p w:rsidR="00B1752E" w:rsidRPr="00F40975" w:rsidRDefault="00B1752E" w:rsidP="00F40975">
            <w:pPr>
              <w:rPr>
                <w:sz w:val="24"/>
                <w:szCs w:val="24"/>
                <w:rtl/>
              </w:rPr>
            </w:pPr>
            <w:r w:rsidRPr="00F40975">
              <w:rPr>
                <w:rFonts w:hint="cs"/>
                <w:sz w:val="24"/>
                <w:szCs w:val="24"/>
                <w:rtl/>
              </w:rPr>
              <w:t>10 درجات</w:t>
            </w:r>
          </w:p>
        </w:tc>
      </w:tr>
    </w:tbl>
    <w:p w:rsidR="00B1752E" w:rsidRPr="00F40975" w:rsidRDefault="00B1752E" w:rsidP="00F40975">
      <w:pPr>
        <w:spacing w:line="240" w:lineRule="auto"/>
        <w:rPr>
          <w:sz w:val="24"/>
          <w:szCs w:val="24"/>
        </w:rPr>
      </w:pPr>
    </w:p>
    <w:sectPr w:rsidR="00B1752E" w:rsidRPr="00F40975" w:rsidSect="003637B8">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D69" w:rsidRDefault="00480D69" w:rsidP="0031690D">
      <w:pPr>
        <w:spacing w:after="0" w:line="240" w:lineRule="auto"/>
      </w:pPr>
      <w:r>
        <w:separator/>
      </w:r>
    </w:p>
  </w:endnote>
  <w:endnote w:type="continuationSeparator" w:id="0">
    <w:p w:rsidR="00480D69" w:rsidRDefault="00480D69" w:rsidP="0031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D69" w:rsidRDefault="00480D69" w:rsidP="0031690D">
      <w:pPr>
        <w:spacing w:after="0" w:line="240" w:lineRule="auto"/>
      </w:pPr>
      <w:r>
        <w:separator/>
      </w:r>
    </w:p>
  </w:footnote>
  <w:footnote w:type="continuationSeparator" w:id="0">
    <w:p w:rsidR="00480D69" w:rsidRDefault="00480D69" w:rsidP="00316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0D" w:rsidRPr="0031690D" w:rsidRDefault="0031690D" w:rsidP="0031690D">
    <w:pPr>
      <w:pStyle w:val="a3"/>
      <w:jc w:val="center"/>
      <w:rPr>
        <w:b/>
        <w:bCs/>
        <w:sz w:val="28"/>
        <w:szCs w:val="28"/>
      </w:rPr>
    </w:pPr>
    <w:r w:rsidRPr="0031690D">
      <w:rPr>
        <w:rFonts w:hint="cs"/>
        <w:b/>
        <w:bCs/>
        <w:sz w:val="28"/>
        <w:szCs w:val="28"/>
        <w:rtl/>
      </w:rPr>
      <w:t>الخط التدري</w:t>
    </w:r>
    <w:r>
      <w:rPr>
        <w:rFonts w:hint="cs"/>
        <w:b/>
        <w:bCs/>
        <w:sz w:val="28"/>
        <w:szCs w:val="28"/>
        <w:rtl/>
      </w:rPr>
      <w:t>س</w:t>
    </w:r>
    <w:r w:rsidRPr="0031690D">
      <w:rPr>
        <w:rFonts w:hint="cs"/>
        <w:b/>
        <w:bCs/>
        <w:sz w:val="28"/>
        <w:szCs w:val="28"/>
        <w:rtl/>
      </w:rPr>
      <w:t>ية للمقرر 317 حسب/ المحاسبة المتوسطة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D4B45"/>
    <w:multiLevelType w:val="hybridMultilevel"/>
    <w:tmpl w:val="B5AAB182"/>
    <w:lvl w:ilvl="0" w:tplc="FCD2A7F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8062926"/>
    <w:multiLevelType w:val="hybridMultilevel"/>
    <w:tmpl w:val="5948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0D"/>
    <w:rsid w:val="000A16A9"/>
    <w:rsid w:val="000A1C8A"/>
    <w:rsid w:val="00261CAC"/>
    <w:rsid w:val="002C6B01"/>
    <w:rsid w:val="0031208F"/>
    <w:rsid w:val="0031690D"/>
    <w:rsid w:val="003637B8"/>
    <w:rsid w:val="003C25D0"/>
    <w:rsid w:val="00407963"/>
    <w:rsid w:val="00480D69"/>
    <w:rsid w:val="004D3B97"/>
    <w:rsid w:val="004D3E46"/>
    <w:rsid w:val="00577ADB"/>
    <w:rsid w:val="006D0D9A"/>
    <w:rsid w:val="008D2732"/>
    <w:rsid w:val="008E7E50"/>
    <w:rsid w:val="00AA438E"/>
    <w:rsid w:val="00B1752E"/>
    <w:rsid w:val="00CF4DD5"/>
    <w:rsid w:val="00EA55A7"/>
    <w:rsid w:val="00F40975"/>
    <w:rsid w:val="00F975B5"/>
    <w:rsid w:val="00FE5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90D"/>
    <w:pPr>
      <w:tabs>
        <w:tab w:val="center" w:pos="4153"/>
        <w:tab w:val="right" w:pos="8306"/>
      </w:tabs>
      <w:spacing w:after="0" w:line="240" w:lineRule="auto"/>
    </w:pPr>
  </w:style>
  <w:style w:type="character" w:customStyle="1" w:styleId="Char">
    <w:name w:val="رأس الصفحة Char"/>
    <w:basedOn w:val="a0"/>
    <w:link w:val="a3"/>
    <w:uiPriority w:val="99"/>
    <w:rsid w:val="0031690D"/>
  </w:style>
  <w:style w:type="paragraph" w:styleId="a4">
    <w:name w:val="footer"/>
    <w:basedOn w:val="a"/>
    <w:link w:val="Char0"/>
    <w:uiPriority w:val="99"/>
    <w:unhideWhenUsed/>
    <w:rsid w:val="0031690D"/>
    <w:pPr>
      <w:tabs>
        <w:tab w:val="center" w:pos="4153"/>
        <w:tab w:val="right" w:pos="8306"/>
      </w:tabs>
      <w:spacing w:after="0" w:line="240" w:lineRule="auto"/>
    </w:pPr>
  </w:style>
  <w:style w:type="character" w:customStyle="1" w:styleId="Char0">
    <w:name w:val="تذييل الصفحة Char"/>
    <w:basedOn w:val="a0"/>
    <w:link w:val="a4"/>
    <w:uiPriority w:val="99"/>
    <w:rsid w:val="0031690D"/>
  </w:style>
  <w:style w:type="table" w:styleId="a5">
    <w:name w:val="Table Grid"/>
    <w:basedOn w:val="a1"/>
    <w:uiPriority w:val="59"/>
    <w:rsid w:val="0031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1690D"/>
    <w:pPr>
      <w:ind w:left="720"/>
      <w:contextualSpacing/>
    </w:pPr>
  </w:style>
  <w:style w:type="paragraph" w:styleId="a7">
    <w:name w:val="Balloon Text"/>
    <w:basedOn w:val="a"/>
    <w:link w:val="Char1"/>
    <w:uiPriority w:val="99"/>
    <w:semiHidden/>
    <w:unhideWhenUsed/>
    <w:rsid w:val="00B1752E"/>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17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90D"/>
    <w:pPr>
      <w:tabs>
        <w:tab w:val="center" w:pos="4153"/>
        <w:tab w:val="right" w:pos="8306"/>
      </w:tabs>
      <w:spacing w:after="0" w:line="240" w:lineRule="auto"/>
    </w:pPr>
  </w:style>
  <w:style w:type="character" w:customStyle="1" w:styleId="Char">
    <w:name w:val="رأس الصفحة Char"/>
    <w:basedOn w:val="a0"/>
    <w:link w:val="a3"/>
    <w:uiPriority w:val="99"/>
    <w:rsid w:val="0031690D"/>
  </w:style>
  <w:style w:type="paragraph" w:styleId="a4">
    <w:name w:val="footer"/>
    <w:basedOn w:val="a"/>
    <w:link w:val="Char0"/>
    <w:uiPriority w:val="99"/>
    <w:unhideWhenUsed/>
    <w:rsid w:val="0031690D"/>
    <w:pPr>
      <w:tabs>
        <w:tab w:val="center" w:pos="4153"/>
        <w:tab w:val="right" w:pos="8306"/>
      </w:tabs>
      <w:spacing w:after="0" w:line="240" w:lineRule="auto"/>
    </w:pPr>
  </w:style>
  <w:style w:type="character" w:customStyle="1" w:styleId="Char0">
    <w:name w:val="تذييل الصفحة Char"/>
    <w:basedOn w:val="a0"/>
    <w:link w:val="a4"/>
    <w:uiPriority w:val="99"/>
    <w:rsid w:val="0031690D"/>
  </w:style>
  <w:style w:type="table" w:styleId="a5">
    <w:name w:val="Table Grid"/>
    <w:basedOn w:val="a1"/>
    <w:uiPriority w:val="59"/>
    <w:rsid w:val="00316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1690D"/>
    <w:pPr>
      <w:ind w:left="720"/>
      <w:contextualSpacing/>
    </w:pPr>
  </w:style>
  <w:style w:type="paragraph" w:styleId="a7">
    <w:name w:val="Balloon Text"/>
    <w:basedOn w:val="a"/>
    <w:link w:val="Char1"/>
    <w:uiPriority w:val="99"/>
    <w:semiHidden/>
    <w:unhideWhenUsed/>
    <w:rsid w:val="00B1752E"/>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B17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Wafaa Hamad</cp:lastModifiedBy>
  <cp:revision>15</cp:revision>
  <dcterms:created xsi:type="dcterms:W3CDTF">2019-01-07T09:11:00Z</dcterms:created>
  <dcterms:modified xsi:type="dcterms:W3CDTF">2020-02-18T07:49:00Z</dcterms:modified>
</cp:coreProperties>
</file>