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F" w:rsidRPr="00BC0ADF" w:rsidRDefault="00BC0ADF" w:rsidP="00BC0AD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في القرن التاسع عشر ومطلع القرن العشرين لاحظ العديد من الأطباء الإنجليز والفرنسيين أن بعض الأطفال تزيد حركتهم عن الحدود المقبولة وأن هذا يترافق مع نقص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الانتباه،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وفي النصف الثاني من القرن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الماضي،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اهتم الأطباء في الولايات المتحدة الأميركية بهذه الملاحظات وبدأ وصف وتصنيف هذا الاضطراب في التصنيف الدولي للأمراض والتصنيف الأميركي للاضطرابات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النفسية،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وأصبح من الواضح أن هذا الاضطراب يؤثر على البالغين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أيضا،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فقد يبدأ في الطفولة وليس بالضروري أن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يتلاشى،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أما إذا استمر فإنه يؤثر على حياة الفرد في مختلف المراحل.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ويترافق هذا الاضطراب مع مشاكل عديدة ويؤثر على الثقة بالنفس ويؤدي لصعوبات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مدرسية،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والاعتقاد أنه يختفي مع العمر ليس صحيحا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دائما،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فهناك بعض المصابين بهذا الاضطراب قد يستمرون بالمعاناة حتى مع تقدم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العمر،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ولكن الكثير منهم يتعلمون أساليب للتعامل مع المشكلة.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وقد تبدأ ملاحظة الأعراض بين الثانية والثالثة من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العمر،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وتكون الأعراض في صعوبة انتباه الطفل لما يجري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حوله،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وصعوبة متابعة التعليمات وكأن الطفل لا يصغي للكلام أو لا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يفهمه،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يبدو الطفل في أحلام يقظة بعيدا عن التفاعل مع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الواقع،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وتكون لديه صعوبة في تنظيم واجباته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ونشاطاته،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وكثيرا ما ينسى الطفل وتضيع منه حاجاته و كتبه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وألعابه،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ويفشل في إنجاز أي مهام تطلب منه أو واجباته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المدرسية،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ويلاحظ أنه سريعا ما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يتشتت،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فبينما تقوم الأم أو المدرّسة بشرح شيء معين للطفل فإن أي صوت أو حركة في المحيط أو أشياء موجودة تجعله يتشتت عن الموضوع ويهتم بالمثيرات الأخرى المحيطة.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ولا تبدو على الطفل القدرة على الجلوس أو الوقوف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بهدوء،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فهو كثير الحركة حتى وهو جالس أو واقف يحرك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جسمه،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ويمكن القول إنه في حركة مستمرة وكثير الكلام والمقاطعة لمن يتكلم أو يلعب ولا يصبر لسماع باقي الكلام ولا يستطيع الانتظار أو أخذ دوره في أي شيء.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والأولاد أكثر إصابة بهذا الاضطراب من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البنات،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ويلاحظ أن البنات قد يعانين ضعف الانتباه مع بقاء الحركة في الحدود الطبيعية.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لا يوجد سبب واحد</w:t>
      </w: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br/>
        <w:t xml:space="preserve">وكما هو الحال في معظم الاضطرابات النفسية فلا يوجد سبب واحد لهذا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الاضطراب،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بل مجموعة من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العوامل،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فيلاحظ أن الاضطراب يزيد في بعض العائلات وأن بعض الجينات الوراثية تلعب دورا في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حدوثه،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كما أن عوامل بيئية مختلفة قد يكون لها أثر في فترات حرجة من تطور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الطفل،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مثل التسمم بالرصاص. كما أن فترة الحمل وما يتعرض له الطفل فيها من أخطار مثل تعاطي الأم للخمر وبعض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الأدوية،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تساهم في ظهور هذه الحالة. ويلاحظ أيضا أن الأطفال المولودين بشكل مبكر أكثر عرضة للإصابة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به،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وكثيرا ما تتهم السكريات بأنها سبب لفر ط الحركة ولكن هذا لم يثبت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علميا،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ويجتهد الناس في حال ربط الحالة بمأكولات معينة وهذا لا أساس علمي</w:t>
      </w:r>
      <w:r w:rsidRPr="00BC0ADF">
        <w:rPr>
          <w:rFonts w:ascii="Arial" w:eastAsia="Times New Roman" w:hAnsi="Arial" w:cs="Arial"/>
          <w:noProof/>
          <w:color w:val="333333"/>
          <w:sz w:val="28"/>
          <w:szCs w:val="28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28600"/>
            <wp:effectExtent l="0" t="0" r="0" b="0"/>
            <wp:wrapSquare wrapText="bothSides"/>
            <wp:docPr id="6" name="صورة 2" descr="http://www.aljazeera.net/App_Themes/SharedImages/top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jazeera.net/App_Themes/SharedImages/top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 له أيضا.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قد يؤدي هذا الاضطراب إلى الفشل الدراسي واعتبار الطفل قليل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القدرة،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وهؤلاء الأطفال أكثر عرضة للحوادث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والإصابات،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ويؤدي هذا لاهتزاز النظرة للذات وضعف العلاقات مع الأقران وقبول الآخرين للطفل.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وقد يكون الاضطراب منفردا وأحيانا يكون مصحوبا بالإعاقات العقلية واضطرابات التطور المختلفة بالإضافة للاضطرابات السلوكية والمزاجية والانفعالية والقلق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النفسي،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ومع العمر قد يرتبط التشخيص مع اضطراب المزاج مزدوج القطب.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lastRenderedPageBreak/>
        <w:t xml:space="preserve">في تشخيص الحالة فإن الطبيب يتبع الخطوات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المعروفة،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وهي الفحص الجسدي والنفسي وجمع المعلومات من الطفل في مختلف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الأماكن،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والحصول على تقارير من المدرسة. ويمكن استعمال بعض الاستبيانات لمساعدة الأسرة والمدرسة في الإجابة على الأسئلة. ثم لا بد من التأكد من وجود الأعراض وهي من جزأين: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ضعف الانتباه: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غالبا ما يفشل الطفل في الانتباه للتفاصيل ويرتكب أخطاء وتظهر اللامبالاة في الدراسة والنشاطات الأخرى.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لا يستطيع الاستمرار في الانتباه في الواجبات أو الألعاب مما يؤدي لعدم إتقانها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.</w:t>
      </w:r>
      <w:proofErr w:type="spellEnd"/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لا يبدو أنه مصغٍ عند الحديث معه مما قد يدفع الأهل للشك في معاناته من مشاكل في السمع.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لا يتابع التعليمات ويفشل في إنجاز الواجبات المدرسية أو غيرها.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لديه صعوبة في تنظيم واجباته ونشاطاته.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يتجنب ويكره ويتردد في الانخراط في مهام تتطلب المجهود والمواظبة المستمرة كالواجبات المدرسية أو أي مهام تطلب منه في البيت.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غالبا ما يفقد حاجاته الضرورية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للنشاطات،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والمهام كالألعاب والأقلام والكتب.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يتشتت بسهولة من أي مؤثر غير الموضوع أو العمل المطلوب.</w:t>
      </w:r>
    </w:p>
    <w:p w:rsidR="00BC0ADF" w:rsidRPr="00BC0ADF" w:rsidRDefault="00BC0ADF" w:rsidP="00BC0AD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غالبا ما</w:t>
      </w:r>
      <w:r w:rsidRPr="00BC0ADF">
        <w:rPr>
          <w:rFonts w:ascii="Arial" w:eastAsia="Times New Roman" w:hAnsi="Arial" w:cs="Arial"/>
          <w:noProof/>
          <w:color w:val="333333"/>
          <w:sz w:val="28"/>
          <w:szCs w:val="28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28600"/>
            <wp:effectExtent l="0" t="0" r="0" b="0"/>
            <wp:wrapSquare wrapText="bothSides"/>
            <wp:docPr id="5" name="صورة 3" descr="http://www.aljazeera.net/App_Themes/SharedImages/top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jazeera.net/App_Themes/SharedImages/top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يكون كثير النسيان في النشاطات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اليومية،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حتى إن الأسرة تظن أن الطفل لديه مشاكل في الذاكرة.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</w:pP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الحركة المفرطة والاندفاع: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يحرك الطفل يديه ورجليه وهو واقف أو جالس.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يغادر مقعده في الصف أو أي مكان أخر مع أنه من المفروض أن يبقى جالسا.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غالبا ما يركض ويتسلق الأشياء في مواقف غير مناسبة.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لا يستطيع على الأغلب الاندماج في اللعب بهدوء وقد يكون مخرّبا للعب.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يبدو دائما أنه جاهز للحركة ويصفه الأهل بذلك كأنه على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"موتور".</w:t>
      </w:r>
      <w:proofErr w:type="spellEnd"/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غالبا ما يكون كلامه أكثر من المعتاد ويوصف بالثرثرة الزائدة.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قد يعطي الإجابات السريعة الخاطئة قبل انتهاء السؤال.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لا يستطيع الانتظار بالدور وأي انتظار.</w:t>
      </w:r>
    </w:p>
    <w:p w:rsidR="00BC0ADF" w:rsidRPr="00BC0ADF" w:rsidRDefault="00BC0ADF" w:rsidP="00BC0AD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غالبا ما يقاطع أو يتدخل في حديث أو لعب الآخرين.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وللتشخيص يجب أن يكون واضحا تأثير هذه المشاكل على أداء وقدرات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الطفل،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ولا بد أن تكون هذه المشاكل قد استمرت لفترة لا تقل عن ستة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شهور،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ولا بد أيضا لهذه الأعراض أن تظهر في أكثر من موقف.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وهناك ثلاث فئات من الأطفال المصابين:</w:t>
      </w:r>
    </w:p>
    <w:p w:rsidR="00BC0ADF" w:rsidRPr="00BC0ADF" w:rsidRDefault="00BC0ADF" w:rsidP="00BC0AD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من يكون عدم الانتباه هو المسيطر لديهم.</w:t>
      </w:r>
    </w:p>
    <w:p w:rsidR="00BC0ADF" w:rsidRPr="00BC0ADF" w:rsidRDefault="00BC0ADF" w:rsidP="00BC0AD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من يكون فرط الحركة هو الأكثر وضوحا عندهم. </w:t>
      </w:r>
    </w:p>
    <w:p w:rsidR="00BC0ADF" w:rsidRPr="00BC0ADF" w:rsidRDefault="00BC0ADF" w:rsidP="00BC0AD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هو النوع المختلط بين الحركة المفرطة ونقص الانتباه.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وفي التشخيص كالعادة لا بد من الأخذ بالاعتبار التشخيص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التفريقي،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أي لا بد من استثناء اضطرابات أخرى قد تعطي أعراضا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مشابهة،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مثل صعوبات اللغة والتعلم واضطرابات المزاج والقلق وبعض أشكال الاضطرابات في النظر والسمع والنوم والغدة الدرقية أو إساءة استعمال المؤثرات العقلية وإصابات الدماغ المختلفة.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وعند الحديث عن انتشار هذا الاضطراب يتضح أن نسبته قد تكون بين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3%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إلى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7%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من الأطفال بعمر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المدرسة،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ولكن الأرقام تتفاوت في الدراسات المختلفة والمناطق المختلفة في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العالم،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وهناك ميل في الولايات المتحدة الأميركية لتشخيص هذا الاضطراب أكثر من أوروبا وباقي دول العالم.</w:t>
      </w:r>
      <w:r w:rsidRPr="00BC0ADF">
        <w:rPr>
          <w:rFonts w:ascii="Arial" w:eastAsia="Times New Roman" w:hAnsi="Arial" w:cs="Arial"/>
          <w:noProof/>
          <w:color w:val="333333"/>
          <w:sz w:val="28"/>
          <w:szCs w:val="28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28600"/>
            <wp:effectExtent l="0" t="0" r="0" b="0"/>
            <wp:wrapSquare wrapText="bothSides"/>
            <wp:docPr id="4" name="صورة 4" descr="http://www.aljazeera.net/App_Themes/SharedImages/top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jazeera.net/App_Themes/SharedImages/top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ليس غطاء للمشاغبة</w:t>
      </w: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br/>
        <w:t xml:space="preserve">و يجدر الذكر أنه ليس كل طفل مشاغب وقليل الانتباه بالصف هو مصاب بهذا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الاضطراب،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يبدو التشخيص أحيانا غطاء لمن لديهم تأخر عقلي بسيط أو صعوبات في التعلم أو مشاكل سلوكية وعاطفية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أخرى،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يكونون أطفالا طبيعيين لكن مدرسيهم أو أسرهم لا تتحملهم وتتوقع من الطفل أن يتصرف بهدوء وأن يصغي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دائما،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وبالتدقيق قد تكون المشكلة لدى الأسرة أو المدرسة وليست بالطفل.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ولدى الحديث عن العلاج يتبادر للذهن فورا إعطاء الطفل عقارا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معينا،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والواقع أنه بعد التشخيص الدقيق لا بد من وضع خطة وأهم بنودها أن يكون التعامل مع الطفل في البيت والمدرسة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صحيحا،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وأن يتمكن الطفل من الحصول على أساليب تعديل السلوك عبر الثواب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والعقاب،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والعقاب هو بأسلوب الحجز والحرمان والثواب عكس ذلك. وقد يفيد استعمال لوحة يحصل فيها الطفل على نجمة عندما يكون سلوكه مقبولا ولا يحصل عليها إذا كان سلوكه غير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مقبول،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ويمكن أن يستعمل هذا الأسلوب لأكثر من طفل في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الأسرة،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ويجب الحذر من الضرب والإيذاء والتوبيخ المتواصل الذي قد يعلم الطفل العنف.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ويحتاج بعض الأطفال لعلاجات دوائية يقررها الطبيب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ويتابعها،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ولا يجوز استعمالها دون الرجوع للاستشاري المتخصص. وهذا لا يعني عدم الاستمرار في الأساليب السلوكية والتربوية وتعديل البرنامج اليومي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للطفل،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وحتى أسلوب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الكلام،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فالأطفال لا يصغون لفترات طويلة بالوضع الطبيعي فما بالك في الأطفال ذوي الانتباه القليل والحركة المستمرة. ولذلك فخلال الشرح في قاعة الصف على الأستاذ استعمال الجمل القصيرة لا الشرح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المفرط،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واستعمال لغة الطفل دون خلط كلمات عربية وإنجليزية أو فرنسية في نفس الوقت.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وبالمتابعة والمعالجة السلوكية والدوائية يتخطى الأطفال هذه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المشكلة،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يبقى لها رواسب بعد المدرسة وفي الجامعة والحياة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العملية،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تكون بدرجة بسيطة يستطع الإنسان التعامل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معها،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وقد يحتاج بعض الناس في العشرينيات وبعد ذلك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للمعالجة،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خصوصا إذا كان نقص الانتباه مستمرا ويؤثر على التقدم في العمل والحياة.</w:t>
      </w:r>
    </w:p>
    <w:p w:rsidR="00BC0ADF" w:rsidRPr="00BC0ADF" w:rsidRDefault="00BC0ADF" w:rsidP="00BC0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ولا بد لي من أن أختم الحديث بالقول إن الأب والأم العرب لديهم اهتمام بقراءة النشرات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و"الكتالوجات"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لأي جهاز هاتف أو كمبيوتر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يشتريه،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ويقرؤه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بعنايه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ويبحث عنه عبر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الإنترنت،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ولكن نادرا ما يقرأ كتابا عن تطور الطفل والمراهق والأساليب الصحيحة للتعامل مع مشاكلهم. ويدّعي الكثير من الناس أن أسلوبهم التربوي هو الأسلوب الحديث لأنه يختلف عن أسلوب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آبائهم،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وليس بالضرورة أن يكون أسلوب الآباء خطأ. كما لا بد من وضوح الأساليب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التربوية،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إذ إن المدارس في العالم العربي عموما مهتمة بالتحصيل الأكاديمي أكثر بكثير من التربية والسلوك والتفكير والانضباط وغيرها من أساسيات الفرد المتوازن الناجح في </w:t>
      </w:r>
      <w:proofErr w:type="spellStart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>حياته،</w:t>
      </w:r>
      <w:proofErr w:type="spellEnd"/>
      <w:r w:rsidRPr="00BC0ADF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وهذا أمر يجب الانتباه إليه وتغييره بحيث تركز المدرسة على كافة جوانب تطور الطفل وشخصيته.</w:t>
      </w:r>
    </w:p>
    <w:p w:rsidR="00F37EF8" w:rsidRDefault="00F37EF8">
      <w:pPr>
        <w:rPr>
          <w:rFonts w:hint="cs"/>
        </w:rPr>
      </w:pPr>
    </w:p>
    <w:sectPr w:rsidR="00F37EF8" w:rsidSect="00C876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AC2"/>
    <w:multiLevelType w:val="multilevel"/>
    <w:tmpl w:val="AE9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C6013"/>
    <w:multiLevelType w:val="multilevel"/>
    <w:tmpl w:val="012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94957"/>
    <w:multiLevelType w:val="multilevel"/>
    <w:tmpl w:val="D13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BC0ADF"/>
    <w:rsid w:val="006D1D51"/>
    <w:rsid w:val="009436C3"/>
    <w:rsid w:val="00B12B2E"/>
    <w:rsid w:val="00BC0ADF"/>
    <w:rsid w:val="00BE40A3"/>
    <w:rsid w:val="00C876FC"/>
    <w:rsid w:val="00F3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3"/>
    <w:pPr>
      <w:ind w:left="720"/>
      <w:contextualSpacing/>
    </w:pPr>
  </w:style>
  <w:style w:type="character" w:styleId="a4">
    <w:name w:val="Strong"/>
    <w:basedOn w:val="a0"/>
    <w:uiPriority w:val="22"/>
    <w:qFormat/>
    <w:rsid w:val="00BC0AD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C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9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انقلاب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2015-01-11T12:27:00Z</dcterms:created>
  <dcterms:modified xsi:type="dcterms:W3CDTF">2015-01-11T12:35:00Z</dcterms:modified>
</cp:coreProperties>
</file>