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2E" w:rsidRPr="00BA5A83" w:rsidRDefault="001921DD" w:rsidP="002C6080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</w:pPr>
      <w:proofErr w:type="gramStart"/>
      <w:r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>SULTAN M. ALSHEHRI, Ph</w:t>
      </w:r>
      <w:r w:rsidR="001B3736" w:rsidRPr="00BA5A83">
        <w:rPr>
          <w:rFonts w:asciiTheme="majorBidi" w:hAnsiTheme="majorBidi" w:cstheme="majorBidi"/>
          <w:b/>
          <w:bCs/>
          <w:color w:val="FF0000"/>
          <w:sz w:val="48"/>
          <w:szCs w:val="48"/>
          <w:u w:val="single"/>
        </w:rPr>
        <w:t>D.</w:t>
      </w:r>
      <w:proofErr w:type="gramEnd"/>
    </w:p>
    <w:p w:rsidR="001B3736" w:rsidRDefault="00AD054C" w:rsidP="0031192E">
      <w:pPr>
        <w:spacing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Associate</w:t>
      </w:r>
      <w:r w:rsidR="001B3736" w:rsidRPr="00EB22FD">
        <w:rPr>
          <w:rFonts w:asciiTheme="majorBidi" w:hAnsiTheme="majorBidi" w:cstheme="majorBidi"/>
          <w:sz w:val="28"/>
          <w:szCs w:val="28"/>
        </w:rPr>
        <w:t xml:space="preserve"> Professor of Pharmaceutics and Industrial Pharmacy</w:t>
      </w:r>
    </w:p>
    <w:p w:rsidR="001B3736" w:rsidRDefault="001B3736" w:rsidP="001B3736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20E56" w:rsidRDefault="00520E56" w:rsidP="001B3736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B3736" w:rsidRPr="00EB22FD" w:rsidRDefault="001B3736" w:rsidP="001B3736">
      <w:pPr>
        <w:spacing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B22FD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1B3736" w:rsidRDefault="001B3736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Department of Pharmaceutics</w:t>
      </w: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College of Pharmacy, Building # 23</w:t>
      </w:r>
    </w:p>
    <w:p w:rsidR="0031192E" w:rsidRPr="00BD451B" w:rsidRDefault="00E752F7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Ground Floor, Office # AA 90</w:t>
      </w: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King Saud University</w:t>
      </w: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P.O. BOX 2457, Riyadh 11451</w:t>
      </w: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>Saudi Arabia</w:t>
      </w:r>
    </w:p>
    <w:p w:rsidR="0031192E" w:rsidRDefault="00060679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Office: </w:t>
      </w:r>
      <w:proofErr w:type="gramStart"/>
      <w:r>
        <w:rPr>
          <w:rFonts w:asciiTheme="majorBidi" w:hAnsiTheme="majorBidi" w:cstheme="majorBidi"/>
          <w:sz w:val="24"/>
          <w:szCs w:val="24"/>
        </w:rPr>
        <w:t>+(</w:t>
      </w:r>
      <w:proofErr w:type="gramEnd"/>
      <w:r>
        <w:rPr>
          <w:rFonts w:asciiTheme="majorBidi" w:hAnsiTheme="majorBidi" w:cstheme="majorBidi"/>
          <w:sz w:val="24"/>
          <w:szCs w:val="24"/>
        </w:rPr>
        <w:t>966)-11-4678042</w:t>
      </w:r>
    </w:p>
    <w:p w:rsidR="00CE1152" w:rsidRPr="00BD451B" w:rsidRDefault="00CE1152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Fax: </w:t>
      </w:r>
      <w:proofErr w:type="gramStart"/>
      <w:r w:rsidR="008F0314">
        <w:rPr>
          <w:rFonts w:asciiTheme="majorBidi" w:hAnsiTheme="majorBidi" w:cstheme="majorBidi"/>
          <w:sz w:val="24"/>
          <w:szCs w:val="24"/>
        </w:rPr>
        <w:t>+(</w:t>
      </w:r>
      <w:proofErr w:type="gramEnd"/>
      <w:r w:rsidR="008F0314">
        <w:rPr>
          <w:rFonts w:asciiTheme="majorBidi" w:hAnsiTheme="majorBidi" w:cstheme="majorBidi"/>
          <w:sz w:val="24"/>
          <w:szCs w:val="24"/>
        </w:rPr>
        <w:t>966)-11-4676295</w:t>
      </w:r>
    </w:p>
    <w:p w:rsidR="0031192E" w:rsidRPr="00BD451B" w:rsidRDefault="0031192E" w:rsidP="001B373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BD451B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="00E752F7" w:rsidRPr="00BD451B">
          <w:rPr>
            <w:rStyle w:val="Hyperlink"/>
            <w:rFonts w:asciiTheme="majorBidi" w:hAnsiTheme="majorBidi" w:cstheme="majorBidi"/>
            <w:sz w:val="24"/>
            <w:szCs w:val="24"/>
          </w:rPr>
          <w:t>Salshehri1@ksu.edu.sa</w:t>
        </w:r>
      </w:hyperlink>
    </w:p>
    <w:p w:rsidR="00E0707A" w:rsidRDefault="00EF669A" w:rsidP="00E752F7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Website:</w:t>
      </w:r>
      <w:r w:rsidR="00BA5A83" w:rsidRPr="00BA5A83">
        <w:t xml:space="preserve"> </w:t>
      </w:r>
      <w:hyperlink r:id="rId9" w:history="1">
        <w:r w:rsidR="0036502E" w:rsidRPr="00826C43">
          <w:rPr>
            <w:rStyle w:val="Hyperlink"/>
            <w:rFonts w:asciiTheme="majorBidi" w:hAnsiTheme="majorBidi" w:cstheme="majorBidi"/>
            <w:sz w:val="24"/>
            <w:szCs w:val="24"/>
          </w:rPr>
          <w:t>http://fac.ksu.edu.sa/salshehri1/home</w:t>
        </w:r>
      </w:hyperlink>
    </w:p>
    <w:p w:rsidR="004D5DEC" w:rsidRDefault="004D5DEC" w:rsidP="00E752F7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746313" w:rsidRDefault="00746313" w:rsidP="00E752F7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31192E" w:rsidRPr="00184121" w:rsidRDefault="00E752F7" w:rsidP="00184121">
      <w:pPr>
        <w:spacing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7FA9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3547F5" w:rsidRPr="00BD451B" w:rsidTr="0002033C">
        <w:trPr>
          <w:trHeight w:val="3392"/>
        </w:trPr>
        <w:tc>
          <w:tcPr>
            <w:tcW w:w="1975" w:type="dxa"/>
          </w:tcPr>
          <w:p w:rsidR="003547F5" w:rsidRPr="00BD451B" w:rsidRDefault="003547F5" w:rsidP="0002033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2011-2015</w:t>
            </w:r>
          </w:p>
        </w:tc>
        <w:tc>
          <w:tcPr>
            <w:tcW w:w="7375" w:type="dxa"/>
          </w:tcPr>
          <w:p w:rsidR="00746313" w:rsidRPr="00BD451B" w:rsidRDefault="003547F5" w:rsidP="0018412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Doctor of Philosophy (Ph.D.)</w:t>
            </w:r>
            <w:r w:rsidRPr="00BD451B">
              <w:rPr>
                <w:rFonts w:asciiTheme="majorBidi" w:hAnsiTheme="majorBidi" w:cstheme="majorBidi"/>
                <w:sz w:val="24"/>
                <w:szCs w:val="24"/>
              </w:rPr>
              <w:t xml:space="preserve"> Department of Pharmaceutics and Drug Delivery, School of Pharmacy, University of </w:t>
            </w:r>
            <w:r w:rsidR="005A7E5F">
              <w:rPr>
                <w:rFonts w:asciiTheme="majorBidi" w:hAnsiTheme="majorBidi" w:cstheme="majorBidi"/>
                <w:sz w:val="24"/>
                <w:szCs w:val="24"/>
              </w:rPr>
              <w:t>Mississippi, Oxford, MS 38677 (GPA</w:t>
            </w:r>
            <w:r w:rsidR="00CC420D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5A7E5F">
              <w:rPr>
                <w:rFonts w:asciiTheme="majorBidi" w:hAnsiTheme="majorBidi" w:cstheme="majorBidi"/>
                <w:sz w:val="24"/>
                <w:szCs w:val="24"/>
              </w:rPr>
              <w:t xml:space="preserve"> 4 OUT OF 4)</w:t>
            </w:r>
          </w:p>
          <w:p w:rsidR="003547F5" w:rsidRPr="00BD451B" w:rsidRDefault="003547F5" w:rsidP="0002033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Dissertation Title:</w:t>
            </w:r>
          </w:p>
          <w:p w:rsidR="00BD451B" w:rsidRPr="00BD451B" w:rsidRDefault="003547F5" w:rsidP="0074631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sz w:val="24"/>
                <w:szCs w:val="24"/>
              </w:rPr>
              <w:t>(Versatility of Hot-Melt Extrusion for Dosage Form Design).</w:t>
            </w:r>
          </w:p>
          <w:p w:rsidR="00746313" w:rsidRPr="00BD451B" w:rsidRDefault="003547F5" w:rsidP="0018412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Advisor:</w:t>
            </w:r>
            <w:r w:rsidRPr="00BD451B">
              <w:rPr>
                <w:rFonts w:asciiTheme="majorBidi" w:hAnsiTheme="majorBidi" w:cstheme="majorBidi"/>
                <w:sz w:val="24"/>
                <w:szCs w:val="24"/>
              </w:rPr>
              <w:t xml:space="preserve"> Prof.  Michael A. </w:t>
            </w:r>
            <w:proofErr w:type="spellStart"/>
            <w:r w:rsidRPr="00BD451B">
              <w:rPr>
                <w:rFonts w:asciiTheme="majorBidi" w:hAnsiTheme="majorBidi" w:cstheme="majorBidi"/>
                <w:sz w:val="24"/>
                <w:szCs w:val="24"/>
              </w:rPr>
              <w:t>Repka</w:t>
            </w:r>
            <w:proofErr w:type="spellEnd"/>
            <w:r w:rsidRPr="00BD451B">
              <w:rPr>
                <w:rFonts w:asciiTheme="majorBidi" w:hAnsiTheme="majorBidi" w:cstheme="majorBidi"/>
                <w:sz w:val="24"/>
                <w:szCs w:val="24"/>
              </w:rPr>
              <w:t xml:space="preserve">, Chair and Professor of Pharmaceutics and Drug Delivery, Director of the </w:t>
            </w:r>
            <w:proofErr w:type="spellStart"/>
            <w:r w:rsidRPr="00BD451B">
              <w:rPr>
                <w:rFonts w:asciiTheme="majorBidi" w:hAnsiTheme="majorBidi" w:cstheme="majorBidi"/>
                <w:sz w:val="24"/>
                <w:szCs w:val="24"/>
              </w:rPr>
              <w:t>Pii</w:t>
            </w:r>
            <w:proofErr w:type="spellEnd"/>
            <w:r w:rsidRPr="00BD451B">
              <w:rPr>
                <w:rFonts w:asciiTheme="majorBidi" w:hAnsiTheme="majorBidi" w:cstheme="majorBidi"/>
                <w:sz w:val="24"/>
                <w:szCs w:val="24"/>
              </w:rPr>
              <w:t xml:space="preserve"> Center for Pharmaceutical Technology.</w:t>
            </w:r>
          </w:p>
        </w:tc>
      </w:tr>
      <w:tr w:rsidR="003547F5" w:rsidRPr="00BD451B" w:rsidTr="0002033C">
        <w:trPr>
          <w:trHeight w:val="1367"/>
        </w:trPr>
        <w:tc>
          <w:tcPr>
            <w:tcW w:w="1975" w:type="dxa"/>
          </w:tcPr>
          <w:p w:rsidR="003547F5" w:rsidRPr="00BD451B" w:rsidRDefault="003547F5" w:rsidP="0002033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2004-2009      </w:t>
            </w:r>
          </w:p>
        </w:tc>
        <w:tc>
          <w:tcPr>
            <w:tcW w:w="7375" w:type="dxa"/>
          </w:tcPr>
          <w:p w:rsidR="00746313" w:rsidRPr="00BD451B" w:rsidRDefault="003547F5" w:rsidP="002C60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45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 of Pharmaceutical Sciences (B. Pharm.)</w:t>
            </w:r>
            <w:r w:rsidRPr="00BD451B">
              <w:rPr>
                <w:rFonts w:asciiTheme="majorBidi" w:hAnsiTheme="majorBidi" w:cstheme="majorBidi"/>
                <w:sz w:val="24"/>
                <w:szCs w:val="24"/>
              </w:rPr>
              <w:t>, College of Pharmacy, King Saud University, P.O. BOX 2457, Riyadh 11451, Saudi Arabia.</w:t>
            </w:r>
          </w:p>
        </w:tc>
      </w:tr>
    </w:tbl>
    <w:p w:rsidR="00613AF5" w:rsidRPr="00277FA9" w:rsidRDefault="00BD451B" w:rsidP="0018412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7FA9">
        <w:rPr>
          <w:rFonts w:asciiTheme="majorBidi" w:hAnsiTheme="majorBidi" w:cstheme="majorBidi"/>
          <w:b/>
          <w:bCs/>
          <w:sz w:val="28"/>
          <w:szCs w:val="28"/>
          <w:u w:val="single"/>
        </w:rPr>
        <w:t>PROFESSIONAL EXPERIENCE</w:t>
      </w:r>
      <w:r w:rsidR="002C6080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AD054C" w:rsidRPr="00277FA9" w:rsidTr="00AD054C">
        <w:trPr>
          <w:trHeight w:val="1223"/>
        </w:trPr>
        <w:tc>
          <w:tcPr>
            <w:tcW w:w="2430" w:type="dxa"/>
          </w:tcPr>
          <w:p w:rsidR="00AD054C" w:rsidRDefault="00AD054C" w:rsidP="00FF417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Jan 2020- Present </w:t>
            </w:r>
          </w:p>
        </w:tc>
        <w:tc>
          <w:tcPr>
            <w:tcW w:w="6920" w:type="dxa"/>
          </w:tcPr>
          <w:p w:rsidR="00AD054C" w:rsidRPr="00277FA9" w:rsidRDefault="00AD054C" w:rsidP="004D5DE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Associate Professor, </w:t>
            </w:r>
            <w:r w:rsidRPr="00277FA9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University, P.O. Box 2457, Riyadh 11451, Saudi Arabia</w:t>
            </w:r>
          </w:p>
        </w:tc>
      </w:tr>
      <w:tr w:rsidR="00BD451B" w:rsidRPr="00277FA9" w:rsidTr="00955396">
        <w:trPr>
          <w:trHeight w:val="810"/>
        </w:trPr>
        <w:tc>
          <w:tcPr>
            <w:tcW w:w="2430" w:type="dxa"/>
          </w:tcPr>
          <w:p w:rsidR="00BD451B" w:rsidRPr="00277FA9" w:rsidRDefault="00AD054C" w:rsidP="00FF417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Mar</w:t>
            </w:r>
            <w:r w:rsidR="00BD451B"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</w:t>
            </w:r>
            <w:r w:rsidR="00FF41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Jan 2020</w:t>
            </w:r>
          </w:p>
        </w:tc>
        <w:tc>
          <w:tcPr>
            <w:tcW w:w="6920" w:type="dxa"/>
          </w:tcPr>
          <w:p w:rsidR="00BD451B" w:rsidRPr="00277FA9" w:rsidRDefault="00BD451B" w:rsidP="004D5D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Assistant Professor</w:t>
            </w:r>
            <w:r w:rsidRPr="00277FA9">
              <w:rPr>
                <w:rFonts w:asciiTheme="majorBidi" w:hAnsiTheme="majorBidi" w:cstheme="majorBidi"/>
                <w:sz w:val="24"/>
                <w:szCs w:val="24"/>
              </w:rPr>
              <w:t>, College of Pharmacy, King Saud University, P.O. Box 2457, Riyadh 11451, Saudi Arabia</w:t>
            </w:r>
          </w:p>
        </w:tc>
      </w:tr>
      <w:tr w:rsidR="00BD451B" w:rsidRPr="00277FA9" w:rsidTr="00955396">
        <w:trPr>
          <w:trHeight w:val="1152"/>
        </w:trPr>
        <w:tc>
          <w:tcPr>
            <w:tcW w:w="2430" w:type="dxa"/>
          </w:tcPr>
          <w:p w:rsidR="00BD451B" w:rsidRPr="00277FA9" w:rsidRDefault="00BD451B" w:rsidP="004D5DE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Aug 2011 – Dec 2015</w:t>
            </w:r>
          </w:p>
        </w:tc>
        <w:tc>
          <w:tcPr>
            <w:tcW w:w="6920" w:type="dxa"/>
          </w:tcPr>
          <w:p w:rsidR="00BD451B" w:rsidRPr="00277FA9" w:rsidRDefault="00BD451B" w:rsidP="009553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Graduate Research Assistant,</w:t>
            </w:r>
            <w:r w:rsidRPr="00277FA9">
              <w:rPr>
                <w:rFonts w:asciiTheme="majorBidi" w:hAnsiTheme="majorBidi" w:cstheme="majorBidi"/>
                <w:sz w:val="24"/>
                <w:szCs w:val="24"/>
              </w:rPr>
              <w:t xml:space="preserve"> Department of Pharmaceutics and Drug Delivery, School of Pharmacy, University of Mississippi, Oxford, MS 38677   </w:t>
            </w:r>
          </w:p>
        </w:tc>
      </w:tr>
      <w:tr w:rsidR="00BD451B" w:rsidRPr="00277FA9" w:rsidTr="00955396">
        <w:trPr>
          <w:trHeight w:val="450"/>
        </w:trPr>
        <w:tc>
          <w:tcPr>
            <w:tcW w:w="2430" w:type="dxa"/>
          </w:tcPr>
          <w:p w:rsidR="00BD451B" w:rsidRPr="00277FA9" w:rsidRDefault="00277FA9" w:rsidP="004D5DE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 2009 – Jan 2010</w:t>
            </w:r>
          </w:p>
        </w:tc>
        <w:tc>
          <w:tcPr>
            <w:tcW w:w="6920" w:type="dxa"/>
          </w:tcPr>
          <w:p w:rsidR="00BD451B" w:rsidRPr="00277FA9" w:rsidRDefault="00BD3009" w:rsidP="004D5D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7F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Graduate Teaching Assistant,</w:t>
            </w:r>
            <w:r w:rsidRPr="00277FA9">
              <w:rPr>
                <w:rFonts w:asciiTheme="majorBidi" w:hAnsiTheme="majorBidi" w:cstheme="majorBidi"/>
                <w:sz w:val="24"/>
                <w:szCs w:val="24"/>
              </w:rPr>
              <w:t xml:space="preserve"> College of Pharmacy, King Saud University, P.O. Box 2457, Riyadh 11451, Saudi Arabia.</w:t>
            </w:r>
          </w:p>
        </w:tc>
      </w:tr>
    </w:tbl>
    <w:p w:rsidR="009511AB" w:rsidRPr="00955396" w:rsidRDefault="009511AB" w:rsidP="0095539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955396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PROJECTS:</w:t>
      </w:r>
    </w:p>
    <w:p w:rsidR="00C94E69" w:rsidRPr="00C94E69" w:rsidRDefault="00C94E69" w:rsidP="00C94E69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Co-p</w:t>
      </w:r>
      <w:r w:rsidRPr="003A6E19">
        <w:rPr>
          <w:rFonts w:asciiTheme="majorBidi" w:hAnsiTheme="majorBidi" w:cstheme="majorBidi"/>
          <w:sz w:val="24"/>
          <w:szCs w:val="24"/>
        </w:rPr>
        <w:t xml:space="preserve">rincipal investigator </w:t>
      </w:r>
      <w:r w:rsidRPr="003A6E19">
        <w:rPr>
          <w:rFonts w:asciiTheme="majorBidi" w:hAnsiTheme="majorBidi" w:cstheme="majorBidi"/>
          <w:sz w:val="24"/>
          <w:szCs w:val="24"/>
          <w:lang w:val="en-GB"/>
        </w:rPr>
        <w:t xml:space="preserve">of research group </w:t>
      </w:r>
      <w:r>
        <w:rPr>
          <w:rFonts w:asciiTheme="majorBidi" w:hAnsiTheme="majorBidi" w:cstheme="majorBidi"/>
          <w:sz w:val="24"/>
          <w:szCs w:val="24"/>
        </w:rPr>
        <w:t>project number RGP-1441-010</w:t>
      </w:r>
      <w:r w:rsidRPr="003A6E1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which is funded by </w:t>
      </w:r>
      <w:r w:rsidRPr="003A6E19">
        <w:rPr>
          <w:rFonts w:asciiTheme="majorBidi" w:hAnsiTheme="majorBidi" w:cstheme="majorBidi"/>
          <w:sz w:val="24"/>
          <w:szCs w:val="24"/>
        </w:rPr>
        <w:t xml:space="preserve">Deanship of Scientific Research, King Saudi University </w:t>
      </w:r>
      <w:r>
        <w:rPr>
          <w:rFonts w:asciiTheme="majorBidi" w:hAnsiTheme="majorBidi" w:cstheme="majorBidi"/>
          <w:sz w:val="24"/>
          <w:szCs w:val="24"/>
        </w:rPr>
        <w:t>from September 2019 until September 2020 (150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/>
          <w:sz w:val="24"/>
          <w:szCs w:val="24"/>
        </w:rPr>
        <w:t>000 RS)</w:t>
      </w:r>
      <w:r w:rsidRPr="003A6E19">
        <w:rPr>
          <w:rFonts w:asciiTheme="majorBidi" w:hAnsiTheme="majorBidi" w:cstheme="majorBidi"/>
          <w:sz w:val="24"/>
          <w:szCs w:val="24"/>
        </w:rPr>
        <w:t xml:space="preserve">. </w:t>
      </w:r>
    </w:p>
    <w:p w:rsidR="009511AB" w:rsidRDefault="009511AB" w:rsidP="004D5DEC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6E19">
        <w:rPr>
          <w:rFonts w:asciiTheme="majorBidi" w:hAnsiTheme="majorBidi" w:cstheme="majorBidi"/>
          <w:sz w:val="24"/>
          <w:szCs w:val="24"/>
        </w:rPr>
        <w:t xml:space="preserve">Principal investigator </w:t>
      </w:r>
      <w:r w:rsidRPr="003A6E19">
        <w:rPr>
          <w:rFonts w:asciiTheme="majorBidi" w:hAnsiTheme="majorBidi" w:cstheme="majorBidi"/>
          <w:sz w:val="24"/>
          <w:szCs w:val="24"/>
          <w:lang w:val="en-GB"/>
        </w:rPr>
        <w:t xml:space="preserve">of research group </w:t>
      </w:r>
      <w:r w:rsidRPr="003A6E19">
        <w:rPr>
          <w:rFonts w:asciiTheme="majorBidi" w:hAnsiTheme="majorBidi" w:cstheme="majorBidi"/>
          <w:sz w:val="24"/>
          <w:szCs w:val="24"/>
        </w:rPr>
        <w:t xml:space="preserve">project number RGP-1438-013 entitled </w:t>
      </w:r>
      <w:r w:rsidRPr="003A6E19">
        <w:rPr>
          <w:rFonts w:asciiTheme="majorBidi" w:hAnsiTheme="majorBidi" w:cstheme="majorBidi"/>
          <w:sz w:val="24"/>
          <w:szCs w:val="24"/>
          <w:lang w:val="en-GB"/>
        </w:rPr>
        <w:t>"</w:t>
      </w:r>
      <w:r w:rsidRPr="003A6E19">
        <w:rPr>
          <w:rFonts w:asciiTheme="majorBidi" w:hAnsiTheme="majorBidi" w:cstheme="majorBidi"/>
          <w:sz w:val="24"/>
          <w:szCs w:val="24"/>
        </w:rPr>
        <w:t xml:space="preserve">Formulations and </w:t>
      </w:r>
      <w:r w:rsidR="009D76B1">
        <w:rPr>
          <w:rFonts w:asciiTheme="majorBidi" w:hAnsiTheme="majorBidi" w:cstheme="majorBidi"/>
          <w:sz w:val="24"/>
          <w:szCs w:val="24"/>
        </w:rPr>
        <w:t>p</w:t>
      </w:r>
      <w:r w:rsidRPr="003A6E19">
        <w:rPr>
          <w:rFonts w:asciiTheme="majorBidi" w:hAnsiTheme="majorBidi" w:cstheme="majorBidi"/>
          <w:sz w:val="24"/>
          <w:szCs w:val="24"/>
        </w:rPr>
        <w:t>re</w:t>
      </w:r>
      <w:r w:rsidR="009D76B1">
        <w:rPr>
          <w:rFonts w:asciiTheme="majorBidi" w:hAnsiTheme="majorBidi" w:cstheme="majorBidi"/>
          <w:sz w:val="24"/>
          <w:szCs w:val="24"/>
        </w:rPr>
        <w:t xml:space="preserve"> </w:t>
      </w:r>
      <w:r w:rsidRPr="003A6E19">
        <w:rPr>
          <w:rFonts w:asciiTheme="majorBidi" w:hAnsiTheme="majorBidi" w:cstheme="majorBidi"/>
          <w:sz w:val="24"/>
          <w:szCs w:val="24"/>
        </w:rPr>
        <w:t>formulations of poorly soluble drugs</w:t>
      </w:r>
      <w:r w:rsidRPr="003A6E19">
        <w:rPr>
          <w:rFonts w:asciiTheme="majorBidi" w:hAnsiTheme="majorBidi" w:cstheme="majorBidi"/>
          <w:sz w:val="24"/>
          <w:szCs w:val="24"/>
          <w:lang w:val="en-GB"/>
        </w:rPr>
        <w:t xml:space="preserve">" </w:t>
      </w:r>
      <w:r w:rsidR="00C15676">
        <w:rPr>
          <w:rFonts w:asciiTheme="majorBidi" w:hAnsiTheme="majorBidi" w:cstheme="majorBidi"/>
          <w:sz w:val="24"/>
          <w:szCs w:val="24"/>
        </w:rPr>
        <w:t xml:space="preserve">which is funded by </w:t>
      </w:r>
      <w:r w:rsidR="00C15676" w:rsidRPr="003A6E19">
        <w:rPr>
          <w:rFonts w:asciiTheme="majorBidi" w:hAnsiTheme="majorBidi" w:cstheme="majorBidi"/>
          <w:sz w:val="24"/>
          <w:szCs w:val="24"/>
        </w:rPr>
        <w:t>Deanship</w:t>
      </w:r>
      <w:r w:rsidRPr="003A6E19">
        <w:rPr>
          <w:rFonts w:asciiTheme="majorBidi" w:hAnsiTheme="majorBidi" w:cstheme="majorBidi"/>
          <w:sz w:val="24"/>
          <w:szCs w:val="24"/>
        </w:rPr>
        <w:t xml:space="preserve"> of Scientific Research, King Saudi University </w:t>
      </w:r>
      <w:r w:rsidR="00CA1B59">
        <w:rPr>
          <w:rFonts w:asciiTheme="majorBidi" w:hAnsiTheme="majorBidi" w:cstheme="majorBidi"/>
          <w:sz w:val="24"/>
          <w:szCs w:val="24"/>
        </w:rPr>
        <w:t>from February 2017 until December 2018</w:t>
      </w:r>
      <w:r w:rsidR="00BE5982">
        <w:rPr>
          <w:rFonts w:asciiTheme="majorBidi" w:hAnsiTheme="majorBidi" w:cstheme="majorBidi"/>
          <w:sz w:val="24"/>
          <w:szCs w:val="24"/>
        </w:rPr>
        <w:t xml:space="preserve"> (150</w:t>
      </w:r>
      <w:r w:rsidR="00A66835">
        <w:rPr>
          <w:rFonts w:asciiTheme="majorBidi" w:hAnsiTheme="majorBidi" w:cstheme="majorBidi" w:hint="cs"/>
          <w:sz w:val="24"/>
          <w:szCs w:val="24"/>
          <w:rtl/>
        </w:rPr>
        <w:t>,</w:t>
      </w:r>
      <w:r w:rsidR="00BE5982">
        <w:rPr>
          <w:rFonts w:asciiTheme="majorBidi" w:hAnsiTheme="majorBidi" w:cstheme="majorBidi"/>
          <w:sz w:val="24"/>
          <w:szCs w:val="24"/>
        </w:rPr>
        <w:t>000 RS)</w:t>
      </w:r>
      <w:r w:rsidRPr="003A6E19">
        <w:rPr>
          <w:rFonts w:asciiTheme="majorBidi" w:hAnsiTheme="majorBidi" w:cstheme="majorBidi"/>
          <w:sz w:val="24"/>
          <w:szCs w:val="24"/>
        </w:rPr>
        <w:t xml:space="preserve">. </w:t>
      </w:r>
    </w:p>
    <w:p w:rsidR="002C6080" w:rsidRDefault="002C6080" w:rsidP="002C608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0A32">
        <w:rPr>
          <w:rFonts w:asciiTheme="majorBidi" w:hAnsiTheme="majorBidi" w:cstheme="majorBidi"/>
          <w:sz w:val="24"/>
          <w:szCs w:val="24"/>
        </w:rPr>
        <w:t xml:space="preserve">Solubility measurement, thermodynamics and molecular interactions of </w:t>
      </w:r>
      <w:proofErr w:type="spellStart"/>
      <w:r w:rsidRPr="005A0A32">
        <w:rPr>
          <w:rFonts w:asciiTheme="majorBidi" w:hAnsiTheme="majorBidi" w:cstheme="majorBidi"/>
          <w:sz w:val="24"/>
          <w:szCs w:val="24"/>
        </w:rPr>
        <w:t>flufenamic</w:t>
      </w:r>
      <w:proofErr w:type="spellEnd"/>
      <w:r w:rsidRPr="005A0A32">
        <w:rPr>
          <w:rFonts w:asciiTheme="majorBidi" w:hAnsiTheme="majorBidi" w:cstheme="majorBidi"/>
          <w:sz w:val="24"/>
          <w:szCs w:val="24"/>
        </w:rPr>
        <w:t xml:space="preserve"> acid in different neat solvents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C6080">
        <w:rPr>
          <w:rFonts w:asciiTheme="majorBidi" w:hAnsiTheme="majorBidi" w:cstheme="majorBidi"/>
          <w:sz w:val="24"/>
          <w:szCs w:val="24"/>
        </w:rPr>
        <w:t>Research Center, College of Pharmacy, King Saud University</w:t>
      </w:r>
      <w:r>
        <w:rPr>
          <w:rFonts w:asciiTheme="majorBidi" w:hAnsiTheme="majorBidi" w:cstheme="majorBidi"/>
          <w:sz w:val="24"/>
          <w:szCs w:val="24"/>
        </w:rPr>
        <w:t xml:space="preserve"> 2018 (25,000 SR)</w:t>
      </w:r>
    </w:p>
    <w:p w:rsidR="00CA1B59" w:rsidRDefault="00412EB0" w:rsidP="00CA1B59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(Renew) </w:t>
      </w:r>
      <w:r w:rsidR="00CA1B59" w:rsidRPr="003A6E19">
        <w:rPr>
          <w:rFonts w:asciiTheme="majorBidi" w:hAnsiTheme="majorBidi" w:cstheme="majorBidi"/>
          <w:sz w:val="24"/>
          <w:szCs w:val="24"/>
        </w:rPr>
        <w:t xml:space="preserve">Principal investigator </w:t>
      </w:r>
      <w:r w:rsidR="00CA1B59" w:rsidRPr="003A6E19">
        <w:rPr>
          <w:rFonts w:asciiTheme="majorBidi" w:hAnsiTheme="majorBidi" w:cstheme="majorBidi"/>
          <w:sz w:val="24"/>
          <w:szCs w:val="24"/>
          <w:lang w:val="en-GB"/>
        </w:rPr>
        <w:t xml:space="preserve">of research group </w:t>
      </w:r>
      <w:r w:rsidR="00CA1B59" w:rsidRPr="003A6E19">
        <w:rPr>
          <w:rFonts w:asciiTheme="majorBidi" w:hAnsiTheme="majorBidi" w:cstheme="majorBidi"/>
          <w:sz w:val="24"/>
          <w:szCs w:val="24"/>
        </w:rPr>
        <w:t xml:space="preserve">project number RGP-1438-013 entitled </w:t>
      </w:r>
      <w:r w:rsidR="00CA1B59" w:rsidRPr="003A6E19">
        <w:rPr>
          <w:rFonts w:asciiTheme="majorBidi" w:hAnsiTheme="majorBidi" w:cstheme="majorBidi"/>
          <w:sz w:val="24"/>
          <w:szCs w:val="24"/>
          <w:lang w:val="en-GB"/>
        </w:rPr>
        <w:t>"</w:t>
      </w:r>
      <w:r w:rsidR="00CA1B59" w:rsidRPr="003A6E19">
        <w:rPr>
          <w:rFonts w:asciiTheme="majorBidi" w:hAnsiTheme="majorBidi" w:cstheme="majorBidi"/>
          <w:sz w:val="24"/>
          <w:szCs w:val="24"/>
        </w:rPr>
        <w:t xml:space="preserve">Formulations and </w:t>
      </w:r>
      <w:r w:rsidR="00CA1B59">
        <w:rPr>
          <w:rFonts w:asciiTheme="majorBidi" w:hAnsiTheme="majorBidi" w:cstheme="majorBidi"/>
          <w:sz w:val="24"/>
          <w:szCs w:val="24"/>
        </w:rPr>
        <w:t>p</w:t>
      </w:r>
      <w:r w:rsidR="00CA1B59" w:rsidRPr="003A6E19">
        <w:rPr>
          <w:rFonts w:asciiTheme="majorBidi" w:hAnsiTheme="majorBidi" w:cstheme="majorBidi"/>
          <w:sz w:val="24"/>
          <w:szCs w:val="24"/>
        </w:rPr>
        <w:t>re</w:t>
      </w:r>
      <w:r w:rsidR="00CA1B59">
        <w:rPr>
          <w:rFonts w:asciiTheme="majorBidi" w:hAnsiTheme="majorBidi" w:cstheme="majorBidi"/>
          <w:sz w:val="24"/>
          <w:szCs w:val="24"/>
        </w:rPr>
        <w:t xml:space="preserve"> </w:t>
      </w:r>
      <w:r w:rsidR="00CA1B59" w:rsidRPr="003A6E19">
        <w:rPr>
          <w:rFonts w:asciiTheme="majorBidi" w:hAnsiTheme="majorBidi" w:cstheme="majorBidi"/>
          <w:sz w:val="24"/>
          <w:szCs w:val="24"/>
        </w:rPr>
        <w:t>formulations of poorly soluble drugs</w:t>
      </w:r>
      <w:r w:rsidR="00CA1B59" w:rsidRPr="003A6E19">
        <w:rPr>
          <w:rFonts w:asciiTheme="majorBidi" w:hAnsiTheme="majorBidi" w:cstheme="majorBidi"/>
          <w:sz w:val="24"/>
          <w:szCs w:val="24"/>
          <w:lang w:val="en-GB"/>
        </w:rPr>
        <w:t xml:space="preserve">" </w:t>
      </w:r>
      <w:r w:rsidR="00C15676">
        <w:rPr>
          <w:rFonts w:asciiTheme="majorBidi" w:hAnsiTheme="majorBidi" w:cstheme="majorBidi"/>
          <w:sz w:val="24"/>
          <w:szCs w:val="24"/>
        </w:rPr>
        <w:t>which is funded by</w:t>
      </w:r>
      <w:r w:rsidR="00CA1B59" w:rsidRPr="003A6E19">
        <w:rPr>
          <w:rFonts w:asciiTheme="majorBidi" w:hAnsiTheme="majorBidi" w:cstheme="majorBidi"/>
          <w:sz w:val="24"/>
          <w:szCs w:val="24"/>
        </w:rPr>
        <w:t xml:space="preserve"> Deanship of Scientific Research, King Saudi University </w:t>
      </w:r>
      <w:r w:rsidR="00CA1B59">
        <w:rPr>
          <w:rFonts w:asciiTheme="majorBidi" w:hAnsiTheme="majorBidi" w:cstheme="majorBidi"/>
          <w:sz w:val="24"/>
          <w:szCs w:val="24"/>
        </w:rPr>
        <w:t>from January 2019 until now (150</w:t>
      </w:r>
      <w:r w:rsidR="00CA1B59">
        <w:rPr>
          <w:rFonts w:asciiTheme="majorBidi" w:hAnsiTheme="majorBidi" w:cstheme="majorBidi" w:hint="cs"/>
          <w:sz w:val="24"/>
          <w:szCs w:val="24"/>
          <w:rtl/>
        </w:rPr>
        <w:t>,</w:t>
      </w:r>
      <w:r w:rsidR="00CA1B59">
        <w:rPr>
          <w:rFonts w:asciiTheme="majorBidi" w:hAnsiTheme="majorBidi" w:cstheme="majorBidi"/>
          <w:sz w:val="24"/>
          <w:szCs w:val="24"/>
        </w:rPr>
        <w:t>000 RS)</w:t>
      </w:r>
      <w:r w:rsidR="00CA1B59" w:rsidRPr="003A6E19">
        <w:rPr>
          <w:rFonts w:asciiTheme="majorBidi" w:hAnsiTheme="majorBidi" w:cstheme="majorBidi"/>
          <w:sz w:val="24"/>
          <w:szCs w:val="24"/>
        </w:rPr>
        <w:t xml:space="preserve">. </w:t>
      </w:r>
    </w:p>
    <w:p w:rsidR="00AD054C" w:rsidRPr="00955396" w:rsidRDefault="002C6080" w:rsidP="00955396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6080">
        <w:rPr>
          <w:rFonts w:asciiTheme="majorBidi" w:hAnsiTheme="majorBidi" w:cstheme="majorBidi"/>
          <w:sz w:val="24"/>
          <w:szCs w:val="24"/>
        </w:rPr>
        <w:t xml:space="preserve">Solubility, molecular interactions and mixing thermodynamic properties of </w:t>
      </w:r>
      <w:proofErr w:type="spellStart"/>
      <w:r w:rsidRPr="002C6080">
        <w:rPr>
          <w:rFonts w:asciiTheme="majorBidi" w:hAnsiTheme="majorBidi" w:cstheme="majorBidi"/>
          <w:sz w:val="24"/>
          <w:szCs w:val="24"/>
        </w:rPr>
        <w:t>piperine</w:t>
      </w:r>
      <w:proofErr w:type="spellEnd"/>
      <w:r w:rsidRPr="002C6080">
        <w:rPr>
          <w:rFonts w:asciiTheme="majorBidi" w:hAnsiTheme="majorBidi" w:cstheme="majorBidi"/>
          <w:sz w:val="24"/>
          <w:szCs w:val="24"/>
        </w:rPr>
        <w:t xml:space="preserve"> in various pure solvents at different temperatures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C6080">
        <w:rPr>
          <w:rFonts w:asciiTheme="majorBidi" w:hAnsiTheme="majorBidi" w:cstheme="majorBidi"/>
          <w:sz w:val="24"/>
          <w:szCs w:val="24"/>
        </w:rPr>
        <w:t>Research Center, College of Pha</w:t>
      </w:r>
      <w:r>
        <w:rPr>
          <w:rFonts w:asciiTheme="majorBidi" w:hAnsiTheme="majorBidi" w:cstheme="majorBidi"/>
          <w:sz w:val="24"/>
          <w:szCs w:val="24"/>
        </w:rPr>
        <w:t>rmacy, King Saud University 2019 (22,000 SR).</w:t>
      </w:r>
    </w:p>
    <w:p w:rsidR="00795EDC" w:rsidRDefault="00795EDC" w:rsidP="00795ED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95EDC">
        <w:rPr>
          <w:rFonts w:asciiTheme="majorBidi" w:hAnsiTheme="majorBidi" w:cstheme="majorBidi"/>
          <w:b/>
          <w:bCs/>
          <w:sz w:val="28"/>
          <w:szCs w:val="28"/>
          <w:u w:val="single"/>
        </w:rPr>
        <w:t>FACULTY AND ADMINISTRATIVE RESPONSIBILITIES: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0E1BA5" w:rsidRPr="001B3736" w:rsidTr="00D44B6D">
        <w:tc>
          <w:tcPr>
            <w:tcW w:w="1975" w:type="dxa"/>
          </w:tcPr>
          <w:p w:rsidR="000E1BA5" w:rsidRDefault="000E1BA5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Feb2023-Present</w:t>
            </w:r>
          </w:p>
        </w:tc>
        <w:tc>
          <w:tcPr>
            <w:tcW w:w="7375" w:type="dxa"/>
          </w:tcPr>
          <w:p w:rsidR="000E1BA5" w:rsidRDefault="000E1BA5" w:rsidP="00AD054C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Member 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of Institutional review board membership at Dr. </w:t>
            </w:r>
            <w:proofErr w:type="spellStart"/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Sulaiman</w:t>
            </w:r>
            <w:proofErr w:type="spellEnd"/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Al Habib medical group (HAP-01-R-082)</w:t>
            </w:r>
          </w:p>
        </w:tc>
      </w:tr>
      <w:tr w:rsidR="00A84E17" w:rsidRPr="001B3736" w:rsidTr="00D44B6D">
        <w:tc>
          <w:tcPr>
            <w:tcW w:w="1975" w:type="dxa"/>
          </w:tcPr>
          <w:p w:rsidR="00A84E17" w:rsidRDefault="00A84E17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Oct2020-</w:t>
            </w:r>
            <w:r w:rsidR="000E1B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Oct202</w:t>
            </w:r>
          </w:p>
        </w:tc>
        <w:tc>
          <w:tcPr>
            <w:tcW w:w="7375" w:type="dxa"/>
          </w:tcPr>
          <w:p w:rsidR="00A84E17" w:rsidRPr="00A76E13" w:rsidRDefault="000E1BA5" w:rsidP="00AD054C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Member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of the C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ommittee for the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valuation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evelopment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echanism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on the Quality of Drug E</w:t>
            </w:r>
            <w:r w:rsidRPr="000E1BA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valuation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Saudi Food and Drug Authority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(SFDA)</w:t>
            </w:r>
          </w:p>
        </w:tc>
      </w:tr>
      <w:tr w:rsidR="00AD054C" w:rsidRPr="001B3736" w:rsidTr="00D44B6D">
        <w:tc>
          <w:tcPr>
            <w:tcW w:w="1975" w:type="dxa"/>
          </w:tcPr>
          <w:p w:rsidR="00AD054C" w:rsidRDefault="00AD054C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Jan2020-Present</w:t>
            </w:r>
          </w:p>
        </w:tc>
        <w:tc>
          <w:tcPr>
            <w:tcW w:w="7375" w:type="dxa"/>
          </w:tcPr>
          <w:p w:rsidR="00AD054C" w:rsidRPr="00AD054C" w:rsidRDefault="00AD054C" w:rsidP="00AD054C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76E1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Vice Dean for Academic Affairs and Quality,</w:t>
            </w:r>
            <w:r w:rsidRPr="00AD054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School of Pharmacy, </w:t>
            </w:r>
            <w:proofErr w:type="spellStart"/>
            <w:r w:rsidRPr="00AD054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Almaarefa</w:t>
            </w:r>
            <w:proofErr w:type="spellEnd"/>
            <w:r w:rsidRPr="00AD054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University.</w:t>
            </w:r>
          </w:p>
        </w:tc>
      </w:tr>
      <w:tr w:rsidR="00076F70" w:rsidRPr="001B3736" w:rsidTr="00D44B6D">
        <w:tc>
          <w:tcPr>
            <w:tcW w:w="1975" w:type="dxa"/>
          </w:tcPr>
          <w:p w:rsidR="00076F70" w:rsidRDefault="00AD054C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Jun2019-Jan 2020</w:t>
            </w:r>
          </w:p>
        </w:tc>
        <w:tc>
          <w:tcPr>
            <w:tcW w:w="7375" w:type="dxa"/>
          </w:tcPr>
          <w:p w:rsidR="00076F70" w:rsidRDefault="00076F70" w:rsidP="00AD054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 time consultant </w:t>
            </w:r>
            <w:r w:rsidRPr="00076F70">
              <w:rPr>
                <w:rFonts w:asciiTheme="majorBidi" w:hAnsiTheme="majorBidi" w:cstheme="majorBidi"/>
                <w:sz w:val="24"/>
                <w:szCs w:val="24"/>
              </w:rPr>
              <w:t xml:space="preserve">at College of Pharmacy, </w:t>
            </w:r>
            <w:proofErr w:type="spellStart"/>
            <w:r w:rsidRPr="00076F70">
              <w:rPr>
                <w:rFonts w:asciiTheme="majorBidi" w:hAnsiTheme="majorBidi" w:cstheme="majorBidi"/>
                <w:sz w:val="24"/>
                <w:szCs w:val="24"/>
              </w:rPr>
              <w:t>Almaarefa</w:t>
            </w:r>
            <w:proofErr w:type="spellEnd"/>
            <w:r w:rsidRPr="00076F7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University, Riyadh, Saudi Arabia. 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July 2019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health </w:t>
            </w:r>
            <w:proofErr w:type="gramStart"/>
            <w:r w:rsidRPr="00AF78C0">
              <w:rPr>
                <w:rFonts w:asciiTheme="majorBidi" w:hAnsiTheme="majorBidi" w:cstheme="majorBidi"/>
                <w:sz w:val="24"/>
                <w:szCs w:val="24"/>
              </w:rPr>
              <w:t>colleges</w:t>
            </w:r>
            <w:proofErr w:type="gramEnd"/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 students’ interview committee,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2019-Present</w:t>
            </w:r>
          </w:p>
        </w:tc>
        <w:tc>
          <w:tcPr>
            <w:tcW w:w="7375" w:type="dxa"/>
          </w:tcPr>
          <w:p w:rsidR="00AB4738" w:rsidRPr="00F65B75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Chair </w:t>
            </w:r>
            <w:r w:rsidRPr="00F65B75">
              <w:rPr>
                <w:rFonts w:asciiTheme="majorBidi" w:hAnsiTheme="majorBidi" w:cstheme="majorBidi"/>
                <w:sz w:val="24"/>
                <w:szCs w:val="24"/>
              </w:rPr>
              <w:t>of 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65B75">
              <w:rPr>
                <w:rFonts w:asciiTheme="majorBidi" w:hAnsiTheme="majorBidi" w:cstheme="majorBidi"/>
                <w:sz w:val="24"/>
                <w:szCs w:val="24"/>
              </w:rPr>
              <w:t>wo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rking group for organizing</w:t>
            </w:r>
            <w:r w:rsidRPr="00F65B75">
              <w:rPr>
                <w:rFonts w:asciiTheme="majorBidi" w:hAnsiTheme="majorBidi" w:cstheme="majorBidi"/>
                <w:sz w:val="24"/>
                <w:szCs w:val="24"/>
              </w:rPr>
              <w:t xml:space="preserve"> and printing the program files for national accreditation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43086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7375" w:type="dxa"/>
          </w:tcPr>
          <w:p w:rsidR="00AB4738" w:rsidRPr="0084308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30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r w:rsidRPr="00843086">
              <w:rPr>
                <w:rFonts w:asciiTheme="majorBidi" w:hAnsiTheme="majorBidi" w:cstheme="majorBidi"/>
                <w:sz w:val="24"/>
                <w:szCs w:val="24"/>
              </w:rPr>
              <w:t xml:space="preserve"> of the formation of a working group of the National Academic Accreditation Committee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43086">
              <w:rPr>
                <w:rFonts w:asciiTheme="majorBidi" w:hAnsiTheme="majorBidi" w:cstheme="majorBidi"/>
                <w:sz w:val="24"/>
                <w:szCs w:val="24"/>
              </w:rPr>
              <w:t xml:space="preserve"> College of Pharmacy, King Saud University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2018-Present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Chairman </w:t>
            </w:r>
            <w:r w:rsidRPr="00D03AB8">
              <w:rPr>
                <w:rFonts w:asciiTheme="majorBidi" w:hAnsiTheme="majorBidi" w:cstheme="majorBidi"/>
                <w:sz w:val="24"/>
                <w:szCs w:val="24"/>
              </w:rPr>
              <w:t>of the Committee of Academic Affairs and Quality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D03AB8">
              <w:rPr>
                <w:rFonts w:asciiTheme="majorBidi" w:hAnsiTheme="majorBidi" w:cstheme="majorBidi"/>
                <w:sz w:val="24"/>
                <w:szCs w:val="24"/>
              </w:rPr>
              <w:t>Department of Pharmaceutics, 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2018-Present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Laboratory Supplies Committee, Department of Pharmaceutics, 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9170FA">
              <w:rPr>
                <w:rFonts w:asciiTheme="majorBidi" w:hAnsiTheme="majorBidi" w:cstheme="majorBidi"/>
                <w:sz w:val="24"/>
                <w:szCs w:val="24"/>
              </w:rPr>
              <w:t>of the Higher Supervisory Committee for Academic Accreditation of Undergraduate and Residency Programs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July 2018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health </w:t>
            </w:r>
            <w:proofErr w:type="gramStart"/>
            <w:r w:rsidRPr="00AF78C0">
              <w:rPr>
                <w:rFonts w:asciiTheme="majorBidi" w:hAnsiTheme="majorBidi" w:cstheme="majorBidi"/>
                <w:sz w:val="24"/>
                <w:szCs w:val="24"/>
              </w:rPr>
              <w:t>colleges</w:t>
            </w:r>
            <w:proofErr w:type="gramEnd"/>
            <w:r w:rsidRPr="00AF78C0">
              <w:rPr>
                <w:rFonts w:asciiTheme="majorBidi" w:hAnsiTheme="majorBidi" w:cstheme="majorBidi"/>
                <w:sz w:val="24"/>
                <w:szCs w:val="24"/>
              </w:rPr>
              <w:t xml:space="preserve"> students’ interview committee,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0D5D5E">
              <w:rPr>
                <w:rFonts w:asciiTheme="majorBidi" w:hAnsiTheme="majorBidi" w:cstheme="majorBidi"/>
                <w:sz w:val="24"/>
                <w:szCs w:val="24"/>
              </w:rPr>
              <w:t>of the advisory committee for Gene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ric and Biosimilar</w:t>
            </w:r>
            <w:r w:rsidRPr="000D5D5E">
              <w:rPr>
                <w:rFonts w:asciiTheme="majorBidi" w:hAnsiTheme="majorBidi" w:cstheme="majorBidi"/>
                <w:sz w:val="24"/>
                <w:szCs w:val="24"/>
              </w:rPr>
              <w:t xml:space="preserve"> drugs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Saudi Food and Drug Authority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(SFDA) to work on:</w:t>
            </w:r>
          </w:p>
          <w:p w:rsidR="00AB4738" w:rsidRPr="001E4328" w:rsidRDefault="00AB4738" w:rsidP="00AB473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Provide scientific</w:t>
            </w:r>
            <w:r w:rsidRPr="001E4328">
              <w:rPr>
                <w:rFonts w:asciiTheme="majorBidi" w:hAnsiTheme="majorBidi" w:cstheme="majorBidi"/>
                <w:sz w:val="24"/>
                <w:szCs w:val="24"/>
              </w:rPr>
              <w:t xml:space="preserve"> opinions and recommendations regarding registration files for generic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1E4328">
              <w:rPr>
                <w:rFonts w:asciiTheme="majorBidi" w:hAnsiTheme="majorBidi" w:cstheme="majorBidi"/>
                <w:sz w:val="24"/>
                <w:szCs w:val="24"/>
              </w:rPr>
              <w:t xml:space="preserve"> and biologically active drugs.</w:t>
            </w:r>
          </w:p>
          <w:p w:rsidR="00AB4738" w:rsidRPr="001E4328" w:rsidRDefault="00AB4738" w:rsidP="00AB473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E4328">
              <w:rPr>
                <w:rFonts w:asciiTheme="majorBidi" w:hAnsiTheme="majorBidi" w:cstheme="majorBidi"/>
                <w:sz w:val="24"/>
                <w:szCs w:val="24"/>
              </w:rPr>
              <w:t>Provide scientific opinion regarding the results of the quality of generic preparations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B238B6">
              <w:rPr>
                <w:rFonts w:asciiTheme="majorBidi" w:hAnsiTheme="majorBidi" w:cstheme="majorBidi"/>
                <w:sz w:val="24"/>
                <w:szCs w:val="24"/>
              </w:rPr>
              <w:t>Bioequivalence)</w:t>
            </w:r>
            <w:r w:rsidRPr="001E4328">
              <w:rPr>
                <w:rFonts w:asciiTheme="majorBidi" w:hAnsiTheme="majorBidi" w:cstheme="majorBidi"/>
                <w:sz w:val="24"/>
                <w:szCs w:val="24"/>
              </w:rPr>
              <w:t xml:space="preserve"> and recommend suspension or cancellation of the registration license for the registration committee of pharmaceutical companies and their products.</w:t>
            </w:r>
          </w:p>
          <w:p w:rsidR="00AB4738" w:rsidRPr="001E4328" w:rsidRDefault="00AB4738" w:rsidP="00AB473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E4328">
              <w:rPr>
                <w:rFonts w:asciiTheme="majorBidi" w:hAnsiTheme="majorBidi" w:cstheme="majorBidi"/>
                <w:sz w:val="24"/>
                <w:szCs w:val="24"/>
              </w:rPr>
              <w:t>Review the validity of the project of the quality of generic drugs periodically (quarterly) and to show the scientific opinion.</w:t>
            </w:r>
          </w:p>
          <w:p w:rsidR="00AB4738" w:rsidRPr="001E4328" w:rsidRDefault="00AB4738" w:rsidP="00AB473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432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Studying and proposing the strategic plans and directions of the executive management to evaluate the pharmaceutical products.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AD3895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2018-Present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Chair elect </w:t>
            </w:r>
            <w:r w:rsidRPr="00D13F90">
              <w:rPr>
                <w:rFonts w:asciiTheme="majorBidi" w:hAnsiTheme="majorBidi" w:cstheme="majorBidi"/>
                <w:sz w:val="24"/>
                <w:szCs w:val="24"/>
              </w:rPr>
              <w:t xml:space="preserve">of AAPS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Saudi </w:t>
            </w:r>
            <w:r w:rsidRPr="00D13F90">
              <w:rPr>
                <w:rFonts w:asciiTheme="majorBidi" w:hAnsiTheme="majorBidi" w:cstheme="majorBidi"/>
                <w:sz w:val="24"/>
                <w:szCs w:val="24"/>
              </w:rPr>
              <w:t>discussion group in Saudi Arabia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Co-founder </w:t>
            </w:r>
            <w:r w:rsidRPr="00D02726">
              <w:rPr>
                <w:rFonts w:asciiTheme="majorBidi" w:hAnsiTheme="majorBidi" w:cstheme="majorBidi"/>
                <w:sz w:val="24"/>
                <w:szCs w:val="24"/>
              </w:rPr>
              <w:t>of AAPS Saudi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13F90">
              <w:rPr>
                <w:rFonts w:asciiTheme="majorBidi" w:hAnsiTheme="majorBidi" w:cstheme="majorBidi"/>
                <w:sz w:val="24"/>
                <w:szCs w:val="24"/>
              </w:rPr>
              <w:t>discussion group in Saudi Arabia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2017-2019</w:t>
            </w:r>
          </w:p>
        </w:tc>
        <w:tc>
          <w:tcPr>
            <w:tcW w:w="73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Head </w:t>
            </w:r>
            <w:r w:rsidRPr="00AD3895">
              <w:rPr>
                <w:rFonts w:asciiTheme="majorBidi" w:hAnsiTheme="majorBidi" w:cstheme="majorBidi"/>
                <w:sz w:val="24"/>
                <w:szCs w:val="24"/>
              </w:rPr>
              <w:t>of the Development and Quality Unite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AD3895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2017-2019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A355EB">
              <w:rPr>
                <w:rFonts w:asciiTheme="majorBidi" w:hAnsiTheme="majorBidi" w:cstheme="majorBidi"/>
                <w:sz w:val="24"/>
                <w:szCs w:val="24"/>
              </w:rPr>
              <w:t xml:space="preserve">of the Executive Committee of the Strategic Plan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 School of Pharmacy </w:t>
            </w:r>
            <w:r w:rsidRPr="00A355EB">
              <w:rPr>
                <w:rFonts w:asciiTheme="majorBidi" w:hAnsiTheme="majorBidi" w:cstheme="majorBidi"/>
                <w:sz w:val="24"/>
                <w:szCs w:val="24"/>
              </w:rPr>
              <w:t>for the year 2018-2023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2017-2019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8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0018B5">
              <w:rPr>
                <w:rFonts w:asciiTheme="majorBidi" w:hAnsiTheme="majorBidi" w:cstheme="majorBidi"/>
                <w:sz w:val="24"/>
                <w:szCs w:val="24"/>
              </w:rPr>
              <w:t>of the Committee for the processing of the file of Doctor of Pharmacy program for national academic accreditation.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AD3895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2017-2019</w:t>
            </w:r>
          </w:p>
        </w:tc>
        <w:tc>
          <w:tcPr>
            <w:tcW w:w="7375" w:type="dxa"/>
          </w:tcPr>
          <w:p w:rsidR="00AB4738" w:rsidRPr="008346CC" w:rsidRDefault="00AB4738" w:rsidP="00AB473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Higher</w:t>
            </w:r>
            <w:r w:rsidRPr="008346CC">
              <w:rPr>
                <w:rFonts w:asciiTheme="majorBidi" w:hAnsiTheme="majorBidi" w:cstheme="majorBidi"/>
                <w:sz w:val="24"/>
                <w:szCs w:val="24"/>
              </w:rPr>
              <w:t xml:space="preserve"> Supervisory Committee for Accreditation of Academic Programs for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Pharm. D and Bachelor programs. 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2017-Pre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D3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7375" w:type="dxa"/>
          </w:tcPr>
          <w:p w:rsidR="00AB4738" w:rsidRPr="00261F7C" w:rsidRDefault="00AB4738" w:rsidP="00AB473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1F7C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Member </w:t>
            </w:r>
            <w:r w:rsidRPr="00261F7C">
              <w:rPr>
                <w:rFonts w:asciiTheme="majorBidi" w:hAnsiTheme="majorBidi" w:cstheme="majorBidi"/>
                <w:sz w:val="24"/>
                <w:szCs w:val="24"/>
                <w:lang w:val="en"/>
              </w:rPr>
              <w:t>of the Ris</w:t>
            </w:r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k Management Unit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2017-2019</w:t>
            </w:r>
          </w:p>
        </w:tc>
        <w:tc>
          <w:tcPr>
            <w:tcW w:w="73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 </w:t>
            </w:r>
            <w:r w:rsidRPr="00AD3895">
              <w:rPr>
                <w:rFonts w:asciiTheme="majorBidi" w:hAnsiTheme="majorBidi" w:cstheme="majorBidi"/>
                <w:sz w:val="24"/>
                <w:szCs w:val="24"/>
              </w:rPr>
              <w:t>of the Audit Committee for Excellence Award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2017-Pre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D3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73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Member </w:t>
            </w:r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of the innovative unite, 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2016-2018</w:t>
            </w:r>
          </w:p>
        </w:tc>
        <w:tc>
          <w:tcPr>
            <w:tcW w:w="73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B37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Chairman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, Laboratory Supplies Committee, Department of Pharmaceutics, 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2016-2018</w:t>
            </w:r>
          </w:p>
        </w:tc>
        <w:tc>
          <w:tcPr>
            <w:tcW w:w="73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43C09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Chairman</w:t>
            </w:r>
            <w:r w:rsidRPr="00943C09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of the Cultural and Social Activities Committee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43C09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7375" w:type="dxa"/>
          </w:tcPr>
          <w:p w:rsidR="00AB4738" w:rsidRPr="00943C09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43C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Deputy Supervisor</w:t>
            </w:r>
            <w:r w:rsidRPr="00943C09">
              <w:rPr>
                <w:rFonts w:asciiTheme="majorBidi" w:hAnsiTheme="majorBidi" w:cstheme="majorBidi"/>
                <w:sz w:val="24"/>
                <w:szCs w:val="24"/>
              </w:rPr>
              <w:t xml:space="preserve"> of the Public Relations Unit at the </w:t>
            </w:r>
            <w:proofErr w:type="gramStart"/>
            <w:r w:rsidRPr="00943C09">
              <w:rPr>
                <w:rFonts w:asciiTheme="majorBidi" w:hAnsiTheme="majorBidi" w:cstheme="majorBidi"/>
                <w:sz w:val="24"/>
                <w:szCs w:val="24"/>
              </w:rPr>
              <w:t>College</w:t>
            </w:r>
            <w:r w:rsidRPr="00943C0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43C09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proofErr w:type="gramEnd"/>
            <w:r w:rsidRPr="00943C09">
              <w:rPr>
                <w:rFonts w:asciiTheme="majorBidi" w:hAnsiTheme="majorBidi" w:cstheme="majorBidi"/>
                <w:sz w:val="24"/>
                <w:szCs w:val="24"/>
              </w:rPr>
              <w:t xml:space="preserve"> Pharmacy.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2016-2018</w:t>
            </w:r>
          </w:p>
        </w:tc>
        <w:tc>
          <w:tcPr>
            <w:tcW w:w="7375" w:type="dxa"/>
          </w:tcPr>
          <w:p w:rsidR="00AB4738" w:rsidRPr="00943C09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B37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Member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, Curriculum Revision Committee, 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8343BD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2016-2019</w:t>
            </w:r>
          </w:p>
        </w:tc>
        <w:tc>
          <w:tcPr>
            <w:tcW w:w="7375" w:type="dxa"/>
          </w:tcPr>
          <w:p w:rsidR="00AB4738" w:rsidRPr="00943C09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03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Member</w:t>
            </w:r>
            <w:r w:rsidRPr="00943C09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of the committee to update the department's website</w:t>
            </w:r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, 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Department of Pharmaceutics, 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E43682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2016-2018</w:t>
            </w:r>
          </w:p>
        </w:tc>
        <w:tc>
          <w:tcPr>
            <w:tcW w:w="7375" w:type="dxa"/>
          </w:tcPr>
          <w:p w:rsidR="00AB4738" w:rsidRPr="00943C09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F031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Member</w:t>
            </w:r>
            <w:r w:rsidRPr="00943C09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of the committee of the relationship between the institution and society</w:t>
            </w:r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, </w:t>
            </w:r>
            <w:r w:rsidRPr="001B3736">
              <w:rPr>
                <w:rFonts w:asciiTheme="majorBidi" w:hAnsiTheme="majorBidi" w:cstheme="majorBidi"/>
                <w:sz w:val="24"/>
                <w:szCs w:val="24"/>
              </w:rPr>
              <w:t>College of Pharmacy, King Saud University.</w:t>
            </w:r>
          </w:p>
        </w:tc>
      </w:tr>
      <w:tr w:rsidR="00AB4738" w:rsidRPr="001B3736" w:rsidTr="00D44B6D">
        <w:tc>
          <w:tcPr>
            <w:tcW w:w="1975" w:type="dxa"/>
          </w:tcPr>
          <w:p w:rsidR="00AB4738" w:rsidRPr="001B3736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2016-Present</w:t>
            </w:r>
          </w:p>
        </w:tc>
        <w:tc>
          <w:tcPr>
            <w:tcW w:w="7375" w:type="dxa"/>
          </w:tcPr>
          <w:p w:rsidR="00AB4738" w:rsidRDefault="00AB4738" w:rsidP="00AB473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Member </w:t>
            </w:r>
            <w:r w:rsidRPr="00261F7C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of the Board of </w:t>
            </w:r>
            <w:r w:rsidRPr="00261F7C">
              <w:rPr>
                <w:rFonts w:asciiTheme="majorBidi" w:hAnsiTheme="majorBidi" w:cstheme="majorBidi"/>
                <w:sz w:val="24"/>
                <w:szCs w:val="24"/>
              </w:rPr>
              <w:t>department of pharmaceutics.</w:t>
            </w:r>
          </w:p>
          <w:p w:rsidR="00F371F2" w:rsidRPr="00261F7C" w:rsidRDefault="00F371F2" w:rsidP="00AB473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77FA9" w:rsidRPr="00A66835" w:rsidRDefault="00842740" w:rsidP="0095539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PAPER </w:t>
      </w:r>
      <w:r w:rsidRPr="00277FA9">
        <w:rPr>
          <w:rFonts w:asciiTheme="majorBidi" w:hAnsiTheme="majorBidi" w:cstheme="majorBidi"/>
          <w:b/>
          <w:bCs/>
          <w:sz w:val="28"/>
          <w:szCs w:val="28"/>
          <w:u w:val="single"/>
        </w:rPr>
        <w:t>PUBLICATIONS:</w:t>
      </w:r>
    </w:p>
    <w:p w:rsidR="00D91600" w:rsidRDefault="006D75D2" w:rsidP="00D91600">
      <w:hyperlink r:id="rId10" w:history="1">
        <w:r w:rsidR="00597216" w:rsidRPr="002D6121">
          <w:rPr>
            <w:rStyle w:val="Hyperlink"/>
          </w:rPr>
          <w:t>https://www.scopus.com/authid/detail.uri?authorId=56845206800</w:t>
        </w:r>
      </w:hyperlink>
    </w:p>
    <w:p w:rsidR="00597216" w:rsidRDefault="00597216" w:rsidP="00D91600"/>
    <w:sectPr w:rsidR="00597216" w:rsidSect="0063679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D2" w:rsidRDefault="006D75D2" w:rsidP="002C6080">
      <w:pPr>
        <w:spacing w:after="0" w:line="240" w:lineRule="auto"/>
      </w:pPr>
      <w:r>
        <w:separator/>
      </w:r>
    </w:p>
  </w:endnote>
  <w:endnote w:type="continuationSeparator" w:id="0">
    <w:p w:rsidR="006D75D2" w:rsidRDefault="006D75D2" w:rsidP="002C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D2" w:rsidRDefault="006D75D2" w:rsidP="002C6080">
      <w:pPr>
        <w:spacing w:after="0" w:line="240" w:lineRule="auto"/>
      </w:pPr>
      <w:r>
        <w:separator/>
      </w:r>
    </w:p>
  </w:footnote>
  <w:footnote w:type="continuationSeparator" w:id="0">
    <w:p w:rsidR="006D75D2" w:rsidRDefault="006D75D2" w:rsidP="002C6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356"/>
    <w:multiLevelType w:val="hybridMultilevel"/>
    <w:tmpl w:val="5F9C5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3877"/>
    <w:multiLevelType w:val="hybridMultilevel"/>
    <w:tmpl w:val="862CA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48C2"/>
    <w:multiLevelType w:val="hybridMultilevel"/>
    <w:tmpl w:val="20E44586"/>
    <w:lvl w:ilvl="0" w:tplc="82B4C9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68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08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8B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C2B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22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87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47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248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C2525"/>
    <w:multiLevelType w:val="hybridMultilevel"/>
    <w:tmpl w:val="492C6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4AA2"/>
    <w:multiLevelType w:val="hybridMultilevel"/>
    <w:tmpl w:val="E9342A4E"/>
    <w:lvl w:ilvl="0" w:tplc="6DB2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29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67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00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03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00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0C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A1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2F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27385"/>
    <w:multiLevelType w:val="hybridMultilevel"/>
    <w:tmpl w:val="E9342A4E"/>
    <w:lvl w:ilvl="0" w:tplc="6DB2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29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67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00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03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00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0C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A1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2F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1C35D3"/>
    <w:multiLevelType w:val="hybridMultilevel"/>
    <w:tmpl w:val="44889198"/>
    <w:lvl w:ilvl="0" w:tplc="8C7E4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4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8C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AA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836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416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A7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5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A3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93714"/>
    <w:multiLevelType w:val="hybridMultilevel"/>
    <w:tmpl w:val="78140426"/>
    <w:lvl w:ilvl="0" w:tplc="62BAF51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EC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D2D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07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8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C7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40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21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4B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241D3"/>
    <w:multiLevelType w:val="hybridMultilevel"/>
    <w:tmpl w:val="F5C2A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D4162"/>
    <w:multiLevelType w:val="hybridMultilevel"/>
    <w:tmpl w:val="0EDC7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A576D"/>
    <w:multiLevelType w:val="hybridMultilevel"/>
    <w:tmpl w:val="8592D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A71E4"/>
    <w:multiLevelType w:val="hybridMultilevel"/>
    <w:tmpl w:val="04988B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ED4465"/>
    <w:multiLevelType w:val="hybridMultilevel"/>
    <w:tmpl w:val="2C784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00"/>
    <w:rsid w:val="000018B5"/>
    <w:rsid w:val="00016B32"/>
    <w:rsid w:val="0002033C"/>
    <w:rsid w:val="000372C9"/>
    <w:rsid w:val="00060679"/>
    <w:rsid w:val="000710A6"/>
    <w:rsid w:val="00076F70"/>
    <w:rsid w:val="00094173"/>
    <w:rsid w:val="000C6224"/>
    <w:rsid w:val="000D1050"/>
    <w:rsid w:val="000D5D5E"/>
    <w:rsid w:val="000D7875"/>
    <w:rsid w:val="000E0280"/>
    <w:rsid w:val="000E1BA5"/>
    <w:rsid w:val="000E60AC"/>
    <w:rsid w:val="00132D65"/>
    <w:rsid w:val="00135199"/>
    <w:rsid w:val="00151C09"/>
    <w:rsid w:val="00156443"/>
    <w:rsid w:val="00173C6D"/>
    <w:rsid w:val="00177AF5"/>
    <w:rsid w:val="00184121"/>
    <w:rsid w:val="001921DD"/>
    <w:rsid w:val="001B3736"/>
    <w:rsid w:val="001C357A"/>
    <w:rsid w:val="001E4328"/>
    <w:rsid w:val="001F0CE8"/>
    <w:rsid w:val="0021285A"/>
    <w:rsid w:val="00225709"/>
    <w:rsid w:val="00227EA6"/>
    <w:rsid w:val="002531BE"/>
    <w:rsid w:val="0025578C"/>
    <w:rsid w:val="00261F7C"/>
    <w:rsid w:val="002633AB"/>
    <w:rsid w:val="00277FA9"/>
    <w:rsid w:val="002C0C25"/>
    <w:rsid w:val="002C6080"/>
    <w:rsid w:val="002D4D31"/>
    <w:rsid w:val="00311589"/>
    <w:rsid w:val="0031192E"/>
    <w:rsid w:val="0031565D"/>
    <w:rsid w:val="00343705"/>
    <w:rsid w:val="003547F5"/>
    <w:rsid w:val="0036502E"/>
    <w:rsid w:val="003706C0"/>
    <w:rsid w:val="00381ED9"/>
    <w:rsid w:val="003A5BDE"/>
    <w:rsid w:val="003A6E19"/>
    <w:rsid w:val="003B4F57"/>
    <w:rsid w:val="003C73C8"/>
    <w:rsid w:val="003F13E5"/>
    <w:rsid w:val="00400B19"/>
    <w:rsid w:val="00412EB0"/>
    <w:rsid w:val="00436A7F"/>
    <w:rsid w:val="0043701B"/>
    <w:rsid w:val="00445A70"/>
    <w:rsid w:val="004462FC"/>
    <w:rsid w:val="00462B95"/>
    <w:rsid w:val="004D5DEC"/>
    <w:rsid w:val="004E5AE3"/>
    <w:rsid w:val="004F61EA"/>
    <w:rsid w:val="00505B4F"/>
    <w:rsid w:val="00512F27"/>
    <w:rsid w:val="00513FF2"/>
    <w:rsid w:val="00520E56"/>
    <w:rsid w:val="005223B7"/>
    <w:rsid w:val="00534995"/>
    <w:rsid w:val="005537C1"/>
    <w:rsid w:val="00553DD8"/>
    <w:rsid w:val="00570AD0"/>
    <w:rsid w:val="00597216"/>
    <w:rsid w:val="005A0A32"/>
    <w:rsid w:val="005A4AD6"/>
    <w:rsid w:val="005A7E5F"/>
    <w:rsid w:val="005B194E"/>
    <w:rsid w:val="005B371D"/>
    <w:rsid w:val="005F1ED7"/>
    <w:rsid w:val="00613AF5"/>
    <w:rsid w:val="00622853"/>
    <w:rsid w:val="006242CE"/>
    <w:rsid w:val="00636790"/>
    <w:rsid w:val="006558F7"/>
    <w:rsid w:val="00690113"/>
    <w:rsid w:val="006A28AA"/>
    <w:rsid w:val="006A359A"/>
    <w:rsid w:val="006C1D9E"/>
    <w:rsid w:val="006D44D5"/>
    <w:rsid w:val="006D75D2"/>
    <w:rsid w:val="00706DD3"/>
    <w:rsid w:val="0071255C"/>
    <w:rsid w:val="0071565B"/>
    <w:rsid w:val="00726CD9"/>
    <w:rsid w:val="0074453A"/>
    <w:rsid w:val="00746313"/>
    <w:rsid w:val="007655E4"/>
    <w:rsid w:val="00765817"/>
    <w:rsid w:val="0077600C"/>
    <w:rsid w:val="00795EDC"/>
    <w:rsid w:val="0080090E"/>
    <w:rsid w:val="008074F7"/>
    <w:rsid w:val="008114C7"/>
    <w:rsid w:val="008343BD"/>
    <w:rsid w:val="008346CC"/>
    <w:rsid w:val="00836A83"/>
    <w:rsid w:val="00842740"/>
    <w:rsid w:val="00843086"/>
    <w:rsid w:val="008534E3"/>
    <w:rsid w:val="008642F1"/>
    <w:rsid w:val="008941FE"/>
    <w:rsid w:val="0089579B"/>
    <w:rsid w:val="008F0314"/>
    <w:rsid w:val="008F0C22"/>
    <w:rsid w:val="00902393"/>
    <w:rsid w:val="00902EE2"/>
    <w:rsid w:val="00916975"/>
    <w:rsid w:val="009170FA"/>
    <w:rsid w:val="00922D11"/>
    <w:rsid w:val="00943C09"/>
    <w:rsid w:val="009462C3"/>
    <w:rsid w:val="00946D8F"/>
    <w:rsid w:val="009511AB"/>
    <w:rsid w:val="009522B2"/>
    <w:rsid w:val="00955396"/>
    <w:rsid w:val="009874FE"/>
    <w:rsid w:val="00994148"/>
    <w:rsid w:val="00994B35"/>
    <w:rsid w:val="009A1002"/>
    <w:rsid w:val="009A7EB1"/>
    <w:rsid w:val="009C5F6E"/>
    <w:rsid w:val="009C721C"/>
    <w:rsid w:val="009D76B1"/>
    <w:rsid w:val="009E49AE"/>
    <w:rsid w:val="009F538A"/>
    <w:rsid w:val="00A355EB"/>
    <w:rsid w:val="00A42D04"/>
    <w:rsid w:val="00A444DC"/>
    <w:rsid w:val="00A6514D"/>
    <w:rsid w:val="00A66835"/>
    <w:rsid w:val="00A754E5"/>
    <w:rsid w:val="00A76E13"/>
    <w:rsid w:val="00A84E17"/>
    <w:rsid w:val="00A935D2"/>
    <w:rsid w:val="00A9609C"/>
    <w:rsid w:val="00AB4738"/>
    <w:rsid w:val="00AB653A"/>
    <w:rsid w:val="00AC652E"/>
    <w:rsid w:val="00AD054C"/>
    <w:rsid w:val="00AD31DE"/>
    <w:rsid w:val="00AD3895"/>
    <w:rsid w:val="00AF78C0"/>
    <w:rsid w:val="00B238B6"/>
    <w:rsid w:val="00B314D3"/>
    <w:rsid w:val="00B51E12"/>
    <w:rsid w:val="00B56F87"/>
    <w:rsid w:val="00B61EEE"/>
    <w:rsid w:val="00B65A26"/>
    <w:rsid w:val="00B74098"/>
    <w:rsid w:val="00B77181"/>
    <w:rsid w:val="00B81123"/>
    <w:rsid w:val="00BA5A83"/>
    <w:rsid w:val="00BB33AE"/>
    <w:rsid w:val="00BB5302"/>
    <w:rsid w:val="00BC0B4A"/>
    <w:rsid w:val="00BC721F"/>
    <w:rsid w:val="00BD3009"/>
    <w:rsid w:val="00BD451B"/>
    <w:rsid w:val="00BE5982"/>
    <w:rsid w:val="00C15676"/>
    <w:rsid w:val="00C30C3D"/>
    <w:rsid w:val="00C3217B"/>
    <w:rsid w:val="00C34D61"/>
    <w:rsid w:val="00C76DFB"/>
    <w:rsid w:val="00C81D52"/>
    <w:rsid w:val="00C94E69"/>
    <w:rsid w:val="00C96CDF"/>
    <w:rsid w:val="00CA1B59"/>
    <w:rsid w:val="00CB5F59"/>
    <w:rsid w:val="00CC420D"/>
    <w:rsid w:val="00CE1152"/>
    <w:rsid w:val="00CF5CA1"/>
    <w:rsid w:val="00CF77B2"/>
    <w:rsid w:val="00D02726"/>
    <w:rsid w:val="00D03AB8"/>
    <w:rsid w:val="00D13F90"/>
    <w:rsid w:val="00D2452F"/>
    <w:rsid w:val="00D44B6D"/>
    <w:rsid w:val="00D565DE"/>
    <w:rsid w:val="00D61213"/>
    <w:rsid w:val="00D90765"/>
    <w:rsid w:val="00D91600"/>
    <w:rsid w:val="00DE3249"/>
    <w:rsid w:val="00E0707A"/>
    <w:rsid w:val="00E43682"/>
    <w:rsid w:val="00E752F7"/>
    <w:rsid w:val="00E858D4"/>
    <w:rsid w:val="00E97789"/>
    <w:rsid w:val="00EB22FD"/>
    <w:rsid w:val="00EC317B"/>
    <w:rsid w:val="00EC5C80"/>
    <w:rsid w:val="00EF669A"/>
    <w:rsid w:val="00F109CE"/>
    <w:rsid w:val="00F11690"/>
    <w:rsid w:val="00F3635F"/>
    <w:rsid w:val="00F371F2"/>
    <w:rsid w:val="00F6045B"/>
    <w:rsid w:val="00F65B75"/>
    <w:rsid w:val="00F8371A"/>
    <w:rsid w:val="00F9726D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5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5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E02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6E19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6502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C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0"/>
  </w:style>
  <w:style w:type="paragraph" w:styleId="Footer">
    <w:name w:val="footer"/>
    <w:basedOn w:val="Normal"/>
    <w:link w:val="FooterChar"/>
    <w:uiPriority w:val="99"/>
    <w:unhideWhenUsed/>
    <w:rsid w:val="002C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5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5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E02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6E19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6502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C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0"/>
  </w:style>
  <w:style w:type="paragraph" w:styleId="Footer">
    <w:name w:val="footer"/>
    <w:basedOn w:val="Normal"/>
    <w:link w:val="FooterChar"/>
    <w:uiPriority w:val="99"/>
    <w:unhideWhenUsed/>
    <w:rsid w:val="002C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866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060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8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19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3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4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78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0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6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1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9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996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885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49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8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30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19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8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8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2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7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4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3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shehri1@ksu.edu.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authid/detail.uri?authorId=56845206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c.ksu.edu.sa/salshehri1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9F4FBD-40FE-4E25-81D7-190F68C757E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12707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Sultan Al Shehri / collaborator</cp:lastModifiedBy>
  <cp:revision>158</cp:revision>
  <cp:lastPrinted>2019-08-06T09:14:00Z</cp:lastPrinted>
  <dcterms:created xsi:type="dcterms:W3CDTF">2016-05-24T09:38:00Z</dcterms:created>
  <dcterms:modified xsi:type="dcterms:W3CDTF">2023-06-22T08:28:00Z</dcterms:modified>
</cp:coreProperties>
</file>