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50"/>
        <w:gridCol w:w="7790"/>
      </w:tblGrid>
      <w:tr w:rsidR="004C56AE" w:rsidRPr="009F5569" w:rsidTr="006B564D">
        <w:trPr>
          <w:gridAfter w:val="1"/>
          <w:wAfter w:w="5760" w:type="dxa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56AE" w:rsidRPr="009F5569" w:rsidRDefault="004C56AE" w:rsidP="006B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C56AE" w:rsidRPr="009F5569" w:rsidTr="006B564D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6AE" w:rsidRPr="009F5569" w:rsidRDefault="004C56AE" w:rsidP="006B564D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Times New Roman" w:eastAsia="Times New Roman" w:hAnsi="Times New Roman" w:cs="Times New Roman"/>
                <w:b/>
                <w:bCs/>
                <w:color w:val="55708A"/>
                <w:sz w:val="36"/>
                <w:szCs w:val="36"/>
              </w:rPr>
              <w:t>CURRICULUM VITAE</w:t>
            </w:r>
          </w:p>
          <w:p w:rsidR="004C56AE" w:rsidRPr="009F5569" w:rsidRDefault="004C56AE" w:rsidP="006B564D">
            <w:pPr>
              <w:spacing w:after="0" w:line="253" w:lineRule="atLeast"/>
              <w:jc w:val="center"/>
              <w:rPr>
                <w:rFonts w:ascii="Calibri" w:eastAsia="Times New Roman" w:hAnsi="Calibri" w:cs="Times New Roman" w:hint="cs"/>
                <w:color w:val="55708A"/>
                <w:rtl/>
              </w:rPr>
            </w:pPr>
            <w:r>
              <w:rPr>
                <w:rFonts w:ascii="Century" w:eastAsia="Times New Roman" w:hAnsi="Century" w:cs="Times New Roman"/>
                <w:b/>
                <w:bCs/>
                <w:color w:val="55708A"/>
                <w:sz w:val="32"/>
                <w:szCs w:val="32"/>
              </w:rPr>
              <w:t>Prof</w:t>
            </w: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32"/>
                <w:szCs w:val="32"/>
              </w:rPr>
              <w:t>. Mohammed N. Al-Arifi</w:t>
            </w:r>
          </w:p>
          <w:p w:rsidR="004C56AE" w:rsidRPr="009F5569" w:rsidRDefault="004C56AE" w:rsidP="006B564D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7"/>
                <w:szCs w:val="27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7"/>
                <w:szCs w:val="27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7"/>
                <w:szCs w:val="27"/>
              </w:rPr>
              <w:t> </w:t>
            </w:r>
          </w:p>
          <w:p w:rsidR="004C56AE" w:rsidRPr="009F5569" w:rsidRDefault="004C56AE" w:rsidP="006B564D">
            <w:pPr>
              <w:shd w:val="clear" w:color="auto" w:fill="A6A6A6"/>
              <w:spacing w:after="0" w:line="253" w:lineRule="atLeast"/>
              <w:jc w:val="center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  <w:shd w:val="clear" w:color="auto" w:fill="A6A6A6"/>
              </w:rPr>
              <w:t>Personal Information</w:t>
            </w:r>
          </w:p>
          <w:p w:rsidR="004C56AE" w:rsidRPr="009F5569" w:rsidRDefault="004C56AE" w:rsidP="006B564D">
            <w:pPr>
              <w:spacing w:after="0" w:line="253" w:lineRule="atLeast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  <w:shd w:val="clear" w:color="auto" w:fill="A6A6A6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alibri" w:eastAsia="Times New Roman" w:hAnsi="Calibri" w:cs="Times New Roman"/>
                <w:b/>
                <w:bCs/>
                <w:color w:val="55708A"/>
              </w:rPr>
              <w:t>Name                                                    </w:t>
            </w:r>
            <w:r>
              <w:rPr>
                <w:rFonts w:ascii="Calibri" w:eastAsia="Times New Roman" w:hAnsi="Calibri" w:cs="Times New Roman"/>
                <w:b/>
                <w:bCs/>
                <w:color w:val="55708A"/>
              </w:rPr>
              <w:t>Prof</w:t>
            </w:r>
            <w:r w:rsidRPr="009F5569">
              <w:rPr>
                <w:rFonts w:ascii="Calibri" w:eastAsia="Times New Roman" w:hAnsi="Calibri" w:cs="Times New Roman"/>
                <w:b/>
                <w:bCs/>
                <w:color w:val="55708A"/>
              </w:rPr>
              <w:t>. Mohammed Nasir Saud Al</w:t>
            </w:r>
            <w:r>
              <w:rPr>
                <w:rFonts w:ascii="Calibri" w:eastAsia="Times New Roman" w:hAnsi="Calibri" w:cs="Times New Roman"/>
                <w:b/>
                <w:bCs/>
                <w:color w:val="55708A"/>
              </w:rPr>
              <w:t>-</w:t>
            </w:r>
            <w:r w:rsidRPr="009F5569">
              <w:rPr>
                <w:rFonts w:ascii="Calibri" w:eastAsia="Times New Roman" w:hAnsi="Calibri" w:cs="Times New Roman"/>
                <w:b/>
                <w:bCs/>
                <w:color w:val="55708A"/>
              </w:rPr>
              <w:t>Arifi                         </w:t>
            </w:r>
          </w:p>
          <w:p w:rsidR="004C56AE" w:rsidRPr="009F5569" w:rsidRDefault="004C56AE" w:rsidP="006B564D">
            <w:pPr>
              <w:spacing w:after="0" w:line="253" w:lineRule="atLeast"/>
              <w:ind w:left="2160" w:hanging="2160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ind w:left="2160" w:hanging="2160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                                              </w:t>
            </w:r>
          </w:p>
          <w:p w:rsidR="004C56AE" w:rsidRPr="009F5569" w:rsidRDefault="004C56AE" w:rsidP="006B564D">
            <w:pPr>
              <w:spacing w:after="0" w:line="253" w:lineRule="atLeast"/>
              <w:ind w:left="2160" w:hanging="2160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  <w:shd w:val="clear" w:color="auto" w:fill="A6A6A6"/>
              </w:rPr>
              <w:t>Present address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              Clinical Pharmacy Department,</w:t>
            </w:r>
          </w:p>
          <w:p w:rsidR="004C56AE" w:rsidRPr="009F5569" w:rsidRDefault="004C56AE" w:rsidP="006B564D">
            <w:pPr>
              <w:spacing w:after="0" w:line="253" w:lineRule="atLeast"/>
              <w:ind w:left="2160" w:firstLine="720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Director of Drug and poison information</w:t>
            </w:r>
          </w:p>
          <w:p w:rsidR="004C56AE" w:rsidRPr="009F5569" w:rsidRDefault="004C56AE" w:rsidP="006B564D">
            <w:pPr>
              <w:spacing w:after="0" w:line="253" w:lineRule="atLeast"/>
              <w:ind w:left="2160" w:firstLine="720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Center, College of Pharmacy, King Saud</w:t>
            </w:r>
          </w:p>
          <w:p w:rsidR="004C56AE" w:rsidRPr="009F5569" w:rsidRDefault="004C56AE" w:rsidP="006B564D">
            <w:pPr>
              <w:spacing w:after="0" w:line="253" w:lineRule="atLeast"/>
              <w:ind w:left="2160" w:firstLine="720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University,</w:t>
            </w:r>
          </w:p>
          <w:p w:rsidR="004C56AE" w:rsidRPr="009F5569" w:rsidRDefault="004C56AE" w:rsidP="006B564D">
            <w:pPr>
              <w:spacing w:after="0" w:line="253" w:lineRule="atLeast"/>
              <w:ind w:left="2880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P.O. Box 2457,</w:t>
            </w:r>
          </w:p>
          <w:p w:rsidR="004C56AE" w:rsidRPr="009F5569" w:rsidRDefault="004C56AE" w:rsidP="006B564D">
            <w:pPr>
              <w:spacing w:after="0" w:line="253" w:lineRule="atLeast"/>
              <w:ind w:left="2160" w:firstLine="720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Riyadh 11451, Saudi Arabia.  </w:t>
            </w:r>
          </w:p>
          <w:p w:rsidR="004C56AE" w:rsidRPr="009F5569" w:rsidRDefault="004C56AE" w:rsidP="006B564D">
            <w:pPr>
              <w:spacing w:after="0" w:line="253" w:lineRule="atLeast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  <w:shd w:val="clear" w:color="auto" w:fill="A6A6A6"/>
              </w:rPr>
              <w:t>Contact</w:t>
            </w: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                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Telephone:    9661-4677352</w:t>
            </w:r>
          </w:p>
          <w:p w:rsidR="004C56AE" w:rsidRPr="009F5569" w:rsidRDefault="004C56AE" w:rsidP="006B564D">
            <w:pPr>
              <w:spacing w:after="0" w:line="253" w:lineRule="atLeast"/>
              <w:ind w:left="2160" w:firstLine="720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Fax No.    :    9661-4676229</w:t>
            </w:r>
          </w:p>
          <w:p w:rsidR="004C56AE" w:rsidRPr="009F5569" w:rsidRDefault="004C56AE" w:rsidP="006B564D">
            <w:pPr>
              <w:spacing w:after="0" w:line="253" w:lineRule="atLeast"/>
              <w:ind w:left="2160" w:firstLine="720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E-mail      :     </w:t>
            </w:r>
            <w:hyperlink r:id="rId4" w:history="1"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malarifi@ksu.edu.sa</w:t>
              </w:r>
            </w:hyperlink>
          </w:p>
          <w:p w:rsidR="004C56AE" w:rsidRPr="009F5569" w:rsidRDefault="004C56AE" w:rsidP="006B564D">
            <w:pPr>
              <w:spacing w:after="0" w:line="253" w:lineRule="atLeast"/>
              <w:ind w:left="2160" w:firstLine="720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  <w:shd w:val="clear" w:color="auto" w:fill="A6A6A6"/>
              </w:rPr>
              <w:t>Spoken languages</w:t>
            </w: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         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Arabic and English</w:t>
            </w:r>
          </w:p>
          <w:p w:rsidR="004C56AE" w:rsidRPr="009F5569" w:rsidRDefault="004C56AE" w:rsidP="006B564D">
            <w:pPr>
              <w:spacing w:after="0" w:line="253" w:lineRule="atLeast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                                              </w:t>
            </w:r>
          </w:p>
          <w:p w:rsidR="004C56AE" w:rsidRPr="009F5569" w:rsidRDefault="004C56AE" w:rsidP="006B564D">
            <w:pPr>
              <w:spacing w:after="0" w:line="253" w:lineRule="atLeast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hd w:val="clear" w:color="auto" w:fill="A6A6A6"/>
              <w:spacing w:after="0" w:line="253" w:lineRule="atLeast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Education (Academic  Qualifications)</w:t>
            </w:r>
          </w:p>
          <w:p w:rsidR="004C56AE" w:rsidRPr="009F5569" w:rsidRDefault="004C56AE" w:rsidP="006B564D">
            <w:pPr>
              <w:spacing w:after="0" w:line="253" w:lineRule="atLeast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ind w:left="2160" w:hanging="216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                   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Doctor of</w:t>
            </w: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rtl/>
              </w:rPr>
              <w:t>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Philosophy (Ph.D.), School of Pharmacy, Queen's University of Belfast, United</w:t>
            </w: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rtl/>
              </w:rPr>
              <w:t>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Kingdom</w:t>
            </w:r>
          </w:p>
          <w:p w:rsidR="004C56AE" w:rsidRPr="009F5569" w:rsidRDefault="004C56AE" w:rsidP="006B564D">
            <w:pPr>
              <w:spacing w:after="0" w:line="253" w:lineRule="atLeast"/>
              <w:ind w:left="2160" w:hanging="216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                          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  <w:u w:val="single"/>
              </w:rPr>
              <w:t>Thesis</w:t>
            </w: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u w:val="single"/>
                <w:rtl/>
              </w:rPr>
              <w:t>:</w:t>
            </w: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rtl/>
              </w:rPr>
              <w:t>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 xml:space="preserve">Clinical Pharmacokinetic and </w:t>
            </w:r>
            <w:proofErr w:type="spellStart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Pharmacodynamic</w:t>
            </w:r>
            <w:proofErr w:type="spellEnd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 xml:space="preserve"> studies     Involving </w:t>
            </w:r>
            <w:proofErr w:type="spellStart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Thiopentone</w:t>
            </w:r>
            <w:proofErr w:type="spellEnd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rtl/>
              </w:rPr>
              <w:t>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 xml:space="preserve">and </w:t>
            </w:r>
            <w:proofErr w:type="spellStart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Propofol</w:t>
            </w:r>
            <w:proofErr w:type="spellEnd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rtl/>
              </w:rPr>
              <w:t>.</w:t>
            </w:r>
          </w:p>
          <w:p w:rsidR="004C56AE" w:rsidRPr="009F5569" w:rsidRDefault="004C56AE" w:rsidP="006B564D">
            <w:pPr>
              <w:spacing w:after="0" w:line="253" w:lineRule="atLeast"/>
              <w:ind w:left="2160" w:hanging="216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                           </w:t>
            </w:r>
            <w:proofErr w:type="spellStart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B.Pharm</w:t>
            </w:r>
            <w:proofErr w:type="spellEnd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. 1986, College of Pharmacy, King Saud University, Riyadh.</w:t>
            </w:r>
          </w:p>
          <w:p w:rsidR="004C56AE" w:rsidRPr="009F5569" w:rsidRDefault="004C56AE" w:rsidP="006B564D">
            <w:pPr>
              <w:spacing w:after="0" w:line="253" w:lineRule="atLeast"/>
              <w:ind w:left="2160" w:hanging="216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hd w:val="clear" w:color="auto" w:fill="A6A6A6"/>
              <w:spacing w:after="0" w:line="253" w:lineRule="atLeast"/>
              <w:ind w:left="2160" w:hanging="216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Academic Appointments</w:t>
            </w:r>
          </w:p>
          <w:p w:rsidR="004C56AE" w:rsidRPr="009F5569" w:rsidRDefault="004C56AE" w:rsidP="006B564D">
            <w:pPr>
              <w:spacing w:after="0" w:line="253" w:lineRule="atLeast"/>
              <w:ind w:left="2160" w:hanging="216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                 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Demonstrator in the Model Pharmacy</w:t>
            </w: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rtl/>
              </w:rPr>
              <w:t>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Clinical Pharmacy Department, College of Pharmacy, King Saud University</w:t>
            </w:r>
            <w:proofErr w:type="gramStart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rtl/>
              </w:rPr>
              <w:t>,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Riyadh</w:t>
            </w:r>
            <w:proofErr w:type="gramEnd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rtl/>
              </w:rPr>
              <w:t>.</w:t>
            </w: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 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 xml:space="preserve">Drug information specialists at 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lastRenderedPageBreak/>
              <w:t>the Drug and Poison Information Center, College of Pharmacy, King Saud University, Riyadh.</w:t>
            </w:r>
          </w:p>
          <w:p w:rsidR="004C56AE" w:rsidRPr="009F5569" w:rsidRDefault="004C56AE" w:rsidP="006B564D">
            <w:pPr>
              <w:spacing w:after="0" w:line="253" w:lineRule="atLeast"/>
              <w:ind w:left="2160" w:hanging="216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                  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Director of Drug</w:t>
            </w: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rtl/>
              </w:rPr>
              <w:t>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and poison Information Center, College of Pharmacy, King Saud University</w:t>
            </w: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rtl/>
              </w:rPr>
              <w:t>,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Riyadh</w:t>
            </w:r>
          </w:p>
          <w:p w:rsidR="004C56AE" w:rsidRPr="009F5569" w:rsidRDefault="004C56AE" w:rsidP="006B564D">
            <w:pPr>
              <w:spacing w:after="0" w:line="253" w:lineRule="atLeast"/>
              <w:ind w:left="2160" w:hanging="216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                    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Assistant Professor in the clinical Pharmacy Department, College of Pharmacy, King Saud University</w:t>
            </w:r>
          </w:p>
          <w:p w:rsidR="004C56AE" w:rsidRPr="009F5569" w:rsidRDefault="004C56AE" w:rsidP="006B564D">
            <w:pPr>
              <w:spacing w:after="0" w:line="253" w:lineRule="atLeast"/>
              <w:ind w:left="2160" w:hanging="216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                                   Associate Professor of clinical Pharmacy, King Saud University, 2011</w:t>
            </w: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rtl/>
              </w:rPr>
              <w:t> </w:t>
            </w:r>
          </w:p>
          <w:p w:rsidR="004C56AE" w:rsidRPr="009F5569" w:rsidRDefault="004C56AE" w:rsidP="006B564D">
            <w:pPr>
              <w:shd w:val="clear" w:color="auto" w:fill="A6A6A6"/>
              <w:spacing w:after="0" w:line="253" w:lineRule="atLeast"/>
              <w:ind w:left="2160" w:hanging="216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Administrative Appointments</w:t>
            </w:r>
          </w:p>
          <w:p w:rsidR="004C56AE" w:rsidRPr="009F5569" w:rsidRDefault="004C56AE" w:rsidP="006B564D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Director of Drug and Poison Information Center, College of Pharmacy, King  Saud University, Riyadh from 1996 till now.</w:t>
            </w:r>
          </w:p>
          <w:p w:rsidR="004C56AE" w:rsidRPr="009F5569" w:rsidRDefault="004C56AE" w:rsidP="006B564D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Director of the Computer Net Services</w:t>
            </w: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rtl/>
              </w:rPr>
              <w:t> (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internet, E-mail and student computer training courses) which affiliated to the</w:t>
            </w: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rtl/>
              </w:rPr>
              <w:t>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Drug and Poison Information Center at the College of Pharmacy, King Saud</w:t>
            </w: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rtl/>
              </w:rPr>
              <w:t>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University, Riyadh</w:t>
            </w:r>
          </w:p>
          <w:p w:rsidR="004C56AE" w:rsidRPr="009F5569" w:rsidRDefault="004C56AE" w:rsidP="006B564D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Editor-in-Chief, Drug &amp; Poison Information Bulletin, Drug and</w:t>
            </w:r>
            <w:proofErr w:type="gramStart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 Poison</w:t>
            </w:r>
            <w:proofErr w:type="gramEnd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 xml:space="preserve"> Information, Center, College of Pharmacy, King Saud University Riyadh, till now.</w:t>
            </w:r>
          </w:p>
          <w:p w:rsidR="004C56AE" w:rsidRPr="009F5569" w:rsidRDefault="004C56AE" w:rsidP="006B564D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hd w:val="clear" w:color="auto" w:fill="A6A6A6"/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Interests</w:t>
            </w:r>
          </w:p>
          <w:p w:rsidR="004C56AE" w:rsidRPr="009F5569" w:rsidRDefault="004C56AE" w:rsidP="006B564D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proofErr w:type="spellStart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Phmacokinetics</w:t>
            </w:r>
            <w:proofErr w:type="spellEnd"/>
            <w:proofErr w:type="gramStart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 and</w:t>
            </w:r>
            <w:proofErr w:type="gramEnd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 xml:space="preserve"> pharmacodynamics of drugs specially anesthetic drugs.</w:t>
            </w:r>
          </w:p>
          <w:p w:rsidR="004C56AE" w:rsidRPr="009F5569" w:rsidRDefault="004C56AE" w:rsidP="006B564D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 xml:space="preserve">NONLIN statistical clinical pharmacokinetic and </w:t>
            </w:r>
            <w:proofErr w:type="spellStart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pharmacodynamic</w:t>
            </w:r>
            <w:proofErr w:type="spellEnd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 xml:space="preserve"> modeling studies.</w:t>
            </w:r>
          </w:p>
          <w:p w:rsidR="004C56AE" w:rsidRPr="009F5569" w:rsidRDefault="004C56AE" w:rsidP="006B564D">
            <w:pPr>
              <w:spacing w:before="100" w:beforeAutospacing="1" w:after="0" w:line="240" w:lineRule="auto"/>
              <w:ind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 xml:space="preserve">NONMEM pharmacokinetic and </w:t>
            </w:r>
            <w:proofErr w:type="spellStart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pharmacodynamic</w:t>
            </w:r>
            <w:proofErr w:type="spellEnd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 xml:space="preserve"> statistical clinical studies of populations groups.</w:t>
            </w:r>
          </w:p>
          <w:p w:rsidR="004C56AE" w:rsidRPr="009F5569" w:rsidRDefault="004C56AE" w:rsidP="006B564D">
            <w:pPr>
              <w:spacing w:before="100" w:beforeAutospacing="1" w:after="0" w:line="240" w:lineRule="auto"/>
              <w:ind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Drug information recourses and retrieving drug information.</w:t>
            </w:r>
          </w:p>
          <w:p w:rsidR="004C56AE" w:rsidRPr="009F5569" w:rsidRDefault="004C56AE" w:rsidP="006B564D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Smoking hazards.</w:t>
            </w:r>
          </w:p>
          <w:p w:rsidR="004C56AE" w:rsidRPr="009F5569" w:rsidRDefault="004C56AE" w:rsidP="006B564D">
            <w:pPr>
              <w:spacing w:after="0" w:line="253" w:lineRule="atLeast"/>
              <w:ind w:left="2160" w:hanging="216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hd w:val="clear" w:color="auto" w:fill="A6A6A6"/>
              <w:spacing w:after="0" w:line="253" w:lineRule="atLeast"/>
              <w:ind w:left="2160" w:hanging="216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Symposiums, workshops and conferences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: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Organizing committee of first exhibition of drug education, held in college of pharmacy, 1421 h.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Organizing committee of second exhibition of drug education, held in college of pharmacy, 1424 H.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lastRenderedPageBreak/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College of Pharmacy organizing committee of the first community and university weak at King Saud University, 1996.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College of Pharmacy organizing committee of the second community and university weak at King Saud University, 1998.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College of Pharmacy organizing committee of the third community and university weak at King Saud University, 2000.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College of Pharmacy organizing committee of the fourth community and university weak at King Saud University, 2002.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College of Pharmacy organizing committee of the fifth community and university weak at King Saud University, 2004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Work shop of Internet application in libraries and information centers, from 14-15 march 1998, at king Abdulaziz City for Science and technology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Symposium of the electronic pharmacy, held by the Saudi pharmaceutical Society, April, 2004, Riyadh, Saudi Arabia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Second international Lebanese American University Conference of clinical pharmacy (Optimizing Pharmaceutical Care), May, 2004, Lebanon.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Fifth international Pharmacy conference held by Saudi Pharmaceutical Society, Riyadh, 1999, Saudi Arabia.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13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  <w:vertAlign w:val="superscript"/>
              </w:rPr>
              <w:t>th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international conference of tobacco and health, Helsinki,</w:t>
            </w:r>
            <w:proofErr w:type="gramStart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 August</w:t>
            </w:r>
            <w:proofErr w:type="gramEnd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, 2003.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Fourth international Pharmacy conference held by Saudi Pharmaceutical Society, Riyadh, 2003, Saudi Arabia.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Win-</w:t>
            </w:r>
            <w:proofErr w:type="spellStart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nonlin</w:t>
            </w:r>
            <w:proofErr w:type="spellEnd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 xml:space="preserve"> workshop, Amsterdam, The Netherlands, August,</w:t>
            </w:r>
            <w:proofErr w:type="gramStart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 2002</w:t>
            </w:r>
            <w:proofErr w:type="gramEnd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 xml:space="preserve">Attendance  of smoking cessation training course organized by smoking cessation training and research </w:t>
            </w:r>
            <w:proofErr w:type="spellStart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programme</w:t>
            </w:r>
            <w:proofErr w:type="spellEnd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, June, 2004, London, United Kingdome.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Attendance of the Ninth international Pharmaceutical and Exposition Conference held at the College of Pharmacy, KSU, 2005.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     </w:t>
            </w:r>
            <w:r w:rsidRPr="009F5569">
              <w:rPr>
                <w:rFonts w:ascii="Century Schoolbook" w:eastAsia="Times New Roman" w:hAnsi="Century Schoolbook" w:cs="Times New Roman"/>
                <w:color w:val="55708A"/>
                <w:sz w:val="24"/>
                <w:szCs w:val="24"/>
              </w:rPr>
              <w:t>Attendance of the first Asian regional conference 2008 SRNT (society of research in nicotine and tobacco)</w:t>
            </w:r>
            <w:proofErr w:type="gramStart"/>
            <w:r w:rsidRPr="009F5569">
              <w:rPr>
                <w:rFonts w:ascii="Century Schoolbook" w:eastAsia="Times New Roman" w:hAnsi="Century Schoolbook" w:cs="Times New Roman"/>
                <w:color w:val="55708A"/>
                <w:sz w:val="24"/>
                <w:szCs w:val="24"/>
              </w:rPr>
              <w:t>  Thailand</w:t>
            </w:r>
            <w:proofErr w:type="gramEnd"/>
            <w:r w:rsidRPr="009F5569">
              <w:rPr>
                <w:rFonts w:ascii="Century Schoolbook" w:eastAsia="Times New Roman" w:hAnsi="Century Schoolbook" w:cs="Times New Roman"/>
                <w:color w:val="55708A"/>
                <w:sz w:val="24"/>
                <w:szCs w:val="24"/>
              </w:rPr>
              <w:t>, October 28-31. 2008.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 Schoolbook" w:eastAsia="Times New Roman" w:hAnsi="Century Schoolbook" w:cs="Times New Roman"/>
                <w:color w:val="55708A"/>
                <w:sz w:val="24"/>
                <w:szCs w:val="24"/>
              </w:rPr>
              <w:lastRenderedPageBreak/>
              <w:t xml:space="preserve">      Attendance of Asian conference on </w:t>
            </w:r>
            <w:proofErr w:type="spellStart"/>
            <w:r w:rsidRPr="009F5569">
              <w:rPr>
                <w:rFonts w:ascii="Century Schoolbook" w:eastAsia="Times New Roman" w:hAnsi="Century Schoolbook" w:cs="Times New Roman"/>
                <w:color w:val="55708A"/>
                <w:sz w:val="24"/>
                <w:szCs w:val="24"/>
              </w:rPr>
              <w:t>pharmacoepidemiology</w:t>
            </w:r>
            <w:proofErr w:type="spellEnd"/>
            <w:r w:rsidRPr="009F5569">
              <w:rPr>
                <w:rFonts w:ascii="Century Schoolbook" w:eastAsia="Times New Roman" w:hAnsi="Century Schoolbook" w:cs="Times New Roman"/>
                <w:color w:val="55708A"/>
                <w:sz w:val="24"/>
                <w:szCs w:val="24"/>
              </w:rPr>
              <w:t>-Korea 2008, November 3-5. (Third Asian Meeting in Korea). 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 Schoolbook" w:eastAsia="Times New Roman" w:hAnsi="Century Schoolbook" w:cs="Times New Roman"/>
                <w:color w:val="55708A"/>
                <w:sz w:val="24"/>
                <w:szCs w:val="24"/>
              </w:rPr>
              <w:t>     Attendance of ACCP/ESCP International Congress on Clinical Pharmacy, held on Orlando, USA, April 24-28, 2009.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 Schoolbook" w:eastAsia="Times New Roman" w:hAnsi="Century Schoolbook" w:cs="Times New Roman"/>
                <w:color w:val="55708A"/>
                <w:sz w:val="24"/>
                <w:szCs w:val="24"/>
              </w:rPr>
              <w:t>     Attendance of the summer meeting conference 2009, American Society of Health-System Pharmacist, Chicago, USA, Jun 14-17.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  <w:rtl/>
              </w:rPr>
              <w:t> </w:t>
            </w:r>
            <w:proofErr w:type="spellStart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>Attendence</w:t>
            </w:r>
            <w:proofErr w:type="spellEnd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 xml:space="preserve">  of the ACCP annual meeting conference , held on </w:t>
            </w:r>
            <w:proofErr w:type="spellStart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>Anhiem,USA</w:t>
            </w:r>
            <w:proofErr w:type="spellEnd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>, October 18-21, 2009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 xml:space="preserve">Attendance of the ASHP American </w:t>
            </w:r>
            <w:proofErr w:type="spellStart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>Sociaty</w:t>
            </w:r>
            <w:proofErr w:type="spellEnd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 xml:space="preserve"> of Health </w:t>
            </w:r>
            <w:proofErr w:type="spellStart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>Pharmacisit</w:t>
            </w:r>
            <w:proofErr w:type="spellEnd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 xml:space="preserve"> System summer meeting 2010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 xml:space="preserve">Attendance of the American College of </w:t>
            </w:r>
            <w:proofErr w:type="spellStart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>Clincal</w:t>
            </w:r>
            <w:proofErr w:type="spellEnd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 xml:space="preserve"> Pharmacy Annual </w:t>
            </w:r>
            <w:proofErr w:type="spellStart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>Meeeting</w:t>
            </w:r>
            <w:proofErr w:type="spellEnd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 xml:space="preserve"> </w:t>
            </w:r>
            <w:proofErr w:type="spellStart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>Accp</w:t>
            </w:r>
            <w:proofErr w:type="spellEnd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 xml:space="preserve"> 2010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>Presenting a poster about drug Information Center in Saudi Arabia at the Annual meeting of drug information Association Chicago 2011</w:t>
            </w:r>
          </w:p>
          <w:p w:rsidR="004C56AE" w:rsidRPr="009F5569" w:rsidRDefault="004C56AE" w:rsidP="006B564D">
            <w:pPr>
              <w:spacing w:before="100" w:beforeAutospacing="1" w:after="240" w:line="240" w:lineRule="auto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 xml:space="preserve">Attendance of the American colleges of clinical Pharmacy Annual meeting ACCP </w:t>
            </w:r>
            <w:proofErr w:type="spellStart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>Pitiburg</w:t>
            </w:r>
            <w:proofErr w:type="spellEnd"/>
            <w:r w:rsidRPr="009F5569">
              <w:rPr>
                <w:rFonts w:ascii="Arial" w:eastAsia="Times New Roman" w:hAnsi="Arial" w:cs="Arial"/>
                <w:color w:val="55708A"/>
                <w:sz w:val="24"/>
                <w:szCs w:val="24"/>
              </w:rPr>
              <w:t xml:space="preserve"> 2011</w:t>
            </w:r>
          </w:p>
          <w:p w:rsidR="004C56AE" w:rsidRPr="009F5569" w:rsidRDefault="004C56AE" w:rsidP="006B564D">
            <w:pPr>
              <w:spacing w:after="0" w:line="253" w:lineRule="atLeast"/>
              <w:ind w:left="2160" w:hanging="216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ind w:left="2160" w:hanging="216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                                  </w:t>
            </w:r>
          </w:p>
          <w:p w:rsidR="004C56AE" w:rsidRPr="009F5569" w:rsidRDefault="004C56AE" w:rsidP="006B564D">
            <w:pPr>
              <w:shd w:val="clear" w:color="auto" w:fill="A6A6A6"/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Researches and projects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 xml:space="preserve">Finished project of studying the radioactive effect of smoking cigarettes and </w:t>
            </w:r>
            <w:proofErr w:type="spellStart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shihsa</w:t>
            </w:r>
            <w:proofErr w:type="spellEnd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 xml:space="preserve"> (Detection of the presence of polonium 210), in the </w:t>
            </w:r>
            <w:proofErr w:type="spellStart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saudi</w:t>
            </w:r>
            <w:proofErr w:type="spellEnd"/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 xml:space="preserve"> population, which funded by the deanship of scientific research, King Saud University, College of Pharmacy, for two years.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hd w:val="clear" w:color="auto" w:fill="A6A6A6"/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Reviewing Assignments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:</w:t>
            </w:r>
          </w:p>
          <w:p w:rsidR="004C56AE" w:rsidRPr="009F5569" w:rsidRDefault="004C56AE" w:rsidP="006B564D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Reviewer for the Saudi Medical Journal.</w:t>
            </w:r>
          </w:p>
          <w:p w:rsidR="004C56AE" w:rsidRPr="009F5569" w:rsidRDefault="004C56AE" w:rsidP="006B564D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Reviewer for the American Journal of Public Health.</w:t>
            </w:r>
          </w:p>
          <w:p w:rsidR="004C56AE" w:rsidRPr="009F5569" w:rsidRDefault="004C56AE" w:rsidP="006B564D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Reviewer for the Neurosciences Journal.</w:t>
            </w:r>
          </w:p>
          <w:p w:rsidR="004C56AE" w:rsidRPr="009F5569" w:rsidRDefault="004C56AE" w:rsidP="006B564D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Symbol" w:eastAsia="Times New Roman" w:hAnsi="Symbol" w:cs="Times New Roman"/>
                <w:color w:val="55708A"/>
                <w:sz w:val="24"/>
                <w:szCs w:val="24"/>
              </w:rPr>
              <w:t></w:t>
            </w:r>
            <w:r w:rsidRPr="009F5569">
              <w:rPr>
                <w:rFonts w:ascii="Times New Roman" w:eastAsia="Times New Roman" w:hAnsi="Times New Roman" w:cs="Times New Roman"/>
                <w:color w:val="55708A"/>
                <w:sz w:val="14"/>
                <w:szCs w:val="14"/>
              </w:rPr>
              <w:t>         </w:t>
            </w: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Reviewer for the Saudi Pharmaceutical Journal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hd w:val="clear" w:color="auto" w:fill="A6A6A6"/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lastRenderedPageBreak/>
              <w:t>Teaching duties: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PHC 451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PHC 475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PHC 328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PHC 570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PHC 495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PHC 590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PHC 591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hd w:val="clear" w:color="auto" w:fill="A6A6A6"/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Publications</w:t>
            </w:r>
          </w:p>
          <w:p w:rsidR="004C56AE" w:rsidRPr="009F5569" w:rsidRDefault="004C56AE" w:rsidP="006B564D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b/>
                <w:bCs/>
                <w:color w:val="55708A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hyperlink r:id="rId5" w:history="1"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1.</w:t>
              </w:r>
              <w:r w:rsidRPr="009F5569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    </w:t>
              </w:r>
              <w:r w:rsidRPr="009F5569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</w:rPr>
                <w:t>Mohammed N. Al-Arifi,</w:t>
              </w:r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 xml:space="preserve"> Othman A. </w:t>
              </w:r>
              <w:proofErr w:type="spell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Gubara</w:t>
              </w:r>
              <w:proofErr w:type="spell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 xml:space="preserve">, </w:t>
              </w:r>
              <w:proofErr w:type="spell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Hesham</w:t>
              </w:r>
              <w:proofErr w:type="spell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 xml:space="preserve"> M. </w:t>
              </w:r>
              <w:proofErr w:type="spell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Korashy</w:t>
              </w:r>
              <w:proofErr w:type="spell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, Drug Information Centers in Saudi Arabia: Evaluation of Community Pharmacists, Services in Riyadh City, Saudi Pharmaceutical Journal. 1997</w:t>
              </w:r>
              <w:proofErr w:type="gram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;4:183</w:t>
              </w:r>
              <w:proofErr w:type="gram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-189.</w:t>
              </w:r>
            </w:hyperlink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hyperlink r:id="rId6" w:history="1"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2.</w:t>
              </w:r>
              <w:r w:rsidRPr="009F5569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    </w:t>
              </w:r>
              <w:proofErr w:type="spell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Tawfeeg</w:t>
              </w:r>
              <w:proofErr w:type="spell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 xml:space="preserve"> A. </w:t>
              </w:r>
              <w:proofErr w:type="spell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Najjar</w:t>
              </w:r>
              <w:proofErr w:type="spell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, PhD, </w:t>
              </w:r>
              <w:r w:rsidRPr="009F5569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</w:rPr>
                <w:t>Mohammed N. Al-Arifi PhD,</w:t>
              </w:r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 xml:space="preserve"> Othman A. </w:t>
              </w:r>
              <w:proofErr w:type="spell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Gubara</w:t>
              </w:r>
              <w:proofErr w:type="spell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 xml:space="preserve"> </w:t>
              </w:r>
              <w:proofErr w:type="spell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MsC</w:t>
              </w:r>
              <w:proofErr w:type="spell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 xml:space="preserve"> and Mohammed Dana  </w:t>
              </w:r>
              <w:proofErr w:type="spell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BsC</w:t>
              </w:r>
              <w:proofErr w:type="spell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, Ethical Requests Received by Drug and Poison Information Center in Saudi Arabia, Journal of social and Administrative Pharmacy. 2000</w:t>
              </w:r>
              <w:proofErr w:type="gram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;17</w:t>
              </w:r>
              <w:proofErr w:type="gram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(4):234-237.</w:t>
              </w:r>
            </w:hyperlink>
          </w:p>
          <w:p w:rsidR="004C56AE" w:rsidRPr="009F5569" w:rsidRDefault="004C56AE" w:rsidP="006B564D">
            <w:pPr>
              <w:spacing w:after="0" w:line="253" w:lineRule="atLeast"/>
              <w:ind w:right="72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3.</w:t>
            </w:r>
            <w:r w:rsidRPr="009F5569">
              <w:rPr>
                <w:rFonts w:ascii="Times New Roman" w:eastAsia="Times New Roman" w:hAnsi="Times New Roman" w:cs="Times New Roman"/>
                <w:color w:val="0080FF"/>
                <w:sz w:val="14"/>
                <w:szCs w:val="14"/>
              </w:rPr>
              <w:t>    </w:t>
            </w:r>
            <w:hyperlink r:id="rId7" w:history="1"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E.I.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Shabana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, M.A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Abd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elaziz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, </w:t>
              </w:r>
              <w:r w:rsidRPr="009F5569">
                <w:rPr>
                  <w:rFonts w:ascii="Century" w:eastAsia="Times New Roman" w:hAnsi="Century" w:cs="Times New Roman"/>
                  <w:b/>
                  <w:bCs/>
                  <w:color w:val="0080FF"/>
                  <w:sz w:val="24"/>
                  <w:szCs w:val="24"/>
                </w:rPr>
                <w:t>M.N Al-Arifi,</w:t>
              </w:r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 A.A Al-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Dhawailie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 and M.M al-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Bokari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, Evaluation of the contribution of Smoking to total Blood Polonium-210 in Saudi Population. Applied Radiation and Isotope Journal. 2000</w:t>
              </w:r>
              <w:proofErr w:type="gram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;52:23</w:t>
              </w:r>
              <w:proofErr w:type="gram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-26.</w:t>
              </w:r>
            </w:hyperlink>
          </w:p>
          <w:p w:rsidR="004C56AE" w:rsidRPr="009F5569" w:rsidRDefault="004C56AE" w:rsidP="006B564D">
            <w:pPr>
              <w:spacing w:after="0" w:line="240" w:lineRule="auto"/>
              <w:ind w:left="720" w:right="72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4.</w:t>
            </w:r>
            <w:r w:rsidRPr="009F5569">
              <w:rPr>
                <w:rFonts w:ascii="Times New Roman" w:eastAsia="Times New Roman" w:hAnsi="Times New Roman" w:cs="Times New Roman"/>
                <w:color w:val="0080FF"/>
                <w:sz w:val="14"/>
                <w:szCs w:val="14"/>
              </w:rPr>
              <w:t>    </w:t>
            </w:r>
            <w:hyperlink r:id="rId8" w:history="1"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Othman A.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Gubara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, </w:t>
              </w:r>
              <w:r w:rsidRPr="009F5569">
                <w:rPr>
                  <w:rFonts w:ascii="Century" w:eastAsia="Times New Roman" w:hAnsi="Century" w:cs="Times New Roman"/>
                  <w:b/>
                  <w:bCs/>
                  <w:color w:val="0080FF"/>
                  <w:sz w:val="24"/>
                  <w:szCs w:val="24"/>
                </w:rPr>
                <w:t>Mohammed N. Al-Arifi,</w:t>
              </w:r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 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Badraddin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 M. Al-Hadiya,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Rosiglutazone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: A new     Hypoglycemic Agent for Treatment of Insulin Resistance. Saudi Pharmaceutical Journal. 2001; 8(2-3):122-128.</w:t>
              </w:r>
            </w:hyperlink>
          </w:p>
          <w:p w:rsidR="004C56AE" w:rsidRPr="009F5569" w:rsidRDefault="004C56AE" w:rsidP="006B564D">
            <w:pPr>
              <w:spacing w:after="0" w:line="240" w:lineRule="auto"/>
              <w:ind w:left="720" w:right="72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5.</w:t>
            </w:r>
            <w:r w:rsidRPr="009F5569">
              <w:rPr>
                <w:rFonts w:ascii="Times New Roman" w:eastAsia="Times New Roman" w:hAnsi="Times New Roman" w:cs="Times New Roman"/>
                <w:color w:val="0080FF"/>
                <w:sz w:val="14"/>
                <w:szCs w:val="14"/>
              </w:rPr>
              <w:t>    </w:t>
            </w:r>
            <w:hyperlink r:id="rId9" w:history="1">
              <w:r w:rsidRPr="009F5569">
                <w:rPr>
                  <w:rFonts w:ascii="Century" w:eastAsia="Times New Roman" w:hAnsi="Century" w:cs="Times New Roman"/>
                  <w:b/>
                  <w:bCs/>
                  <w:sz w:val="24"/>
                  <w:szCs w:val="24"/>
                </w:rPr>
                <w:t>Mohammed N. Al-Arifi,</w:t>
              </w:r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 Othman A.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Gubara</w:t>
              </w:r>
              <w:proofErr w:type="spell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 and Mohammed Dana, The Role of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Rofecoxib</w:t>
              </w:r>
              <w:proofErr w:type="spell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 in Arthritis and Pain. Saudi Pharmaceutical Journal. 2001; 9(1):59-66.</w:t>
              </w:r>
            </w:hyperlink>
          </w:p>
          <w:p w:rsidR="004C56AE" w:rsidRPr="009F5569" w:rsidRDefault="004C56AE" w:rsidP="006B564D">
            <w:pPr>
              <w:spacing w:after="0" w:line="253" w:lineRule="atLeast"/>
              <w:ind w:right="72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6.</w:t>
            </w:r>
            <w:r w:rsidRPr="009F5569">
              <w:rPr>
                <w:rFonts w:ascii="Times New Roman" w:eastAsia="Times New Roman" w:hAnsi="Times New Roman" w:cs="Times New Roman"/>
                <w:color w:val="0080FF"/>
                <w:sz w:val="14"/>
                <w:szCs w:val="14"/>
              </w:rPr>
              <w:t>    </w:t>
            </w:r>
            <w:hyperlink r:id="rId10" w:history="1">
              <w:r w:rsidRPr="009F5569">
                <w:rPr>
                  <w:rFonts w:ascii="Century" w:eastAsia="Times New Roman" w:hAnsi="Century" w:cs="Times New Roman"/>
                  <w:b/>
                  <w:bCs/>
                  <w:sz w:val="24"/>
                  <w:szCs w:val="24"/>
                </w:rPr>
                <w:t>Al-Arifi M. N.</w:t>
              </w:r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Tekele</w:t>
              </w:r>
              <w:proofErr w:type="spell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 A., Al-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Madi</w:t>
              </w:r>
              <w:proofErr w:type="spell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 S., Al-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Dhawailie</w:t>
              </w:r>
              <w:proofErr w:type="spell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 A., Al-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Najjar</w:t>
              </w:r>
              <w:proofErr w:type="spell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 T.A. and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Mgboul</w:t>
              </w:r>
              <w:proofErr w:type="spell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 M.M.,  Simultaneous Determination of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Propofol</w:t>
              </w:r>
              <w:proofErr w:type="spell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 and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Thiopentone</w:t>
              </w:r>
              <w:proofErr w:type="spell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 in Whole Blood by Reversed Phase High Performance Liquid Chromatography.  Arab Pharmaceutical Science Journal. 2001</w:t>
              </w:r>
              <w:proofErr w:type="gram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;1</w:t>
              </w:r>
              <w:proofErr w:type="gram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(9):23-31.</w:t>
              </w:r>
            </w:hyperlink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hyperlink r:id="rId11" w:history="1"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7.</w:t>
              </w:r>
              <w:r w:rsidRPr="009F5569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    </w:t>
              </w:r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 xml:space="preserve">M.H. </w:t>
              </w:r>
              <w:proofErr w:type="spell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Daba</w:t>
              </w:r>
              <w:proofErr w:type="spell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, O. Saleh, </w:t>
              </w:r>
              <w:r w:rsidRPr="009F5569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</w:rPr>
                <w:t xml:space="preserve">M.N. </w:t>
              </w:r>
              <w:proofErr w:type="spellStart"/>
              <w:r w:rsidRPr="009F5569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</w:rPr>
                <w:t>AlArifi</w:t>
              </w:r>
              <w:proofErr w:type="spellEnd"/>
              <w:r w:rsidRPr="009F5569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</w:rPr>
                <w:t>,</w:t>
              </w:r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 </w:t>
              </w:r>
              <w:proofErr w:type="spell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O.A.Gubara</w:t>
              </w:r>
              <w:proofErr w:type="spell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, B.M.H Al- Hadiya and M.H Dana. The Role of Infection in Atherosclerosis. Saudi Pharmaceutical Journal. 2002</w:t>
              </w:r>
              <w:proofErr w:type="gram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;10</w:t>
              </w:r>
              <w:proofErr w:type="gram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(1-2):9-17.</w:t>
              </w:r>
            </w:hyperlink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hyperlink r:id="rId12" w:history="1"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8.</w:t>
              </w:r>
              <w:r w:rsidRPr="009F5569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    </w:t>
              </w:r>
              <w:r w:rsidRPr="009F5569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</w:rPr>
                <w:t>M. N. Al-Arifi,</w:t>
              </w:r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 S. Al-</w:t>
              </w:r>
              <w:proofErr w:type="spell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Madi</w:t>
              </w:r>
              <w:proofErr w:type="spell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 xml:space="preserve">, O.A. </w:t>
              </w:r>
              <w:proofErr w:type="spell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Gubura</w:t>
              </w:r>
              <w:proofErr w:type="spell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 xml:space="preserve"> and M. H. Dana. </w:t>
              </w:r>
              <w:proofErr w:type="spell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Asurvey</w:t>
              </w:r>
              <w:proofErr w:type="spell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 xml:space="preserve"> of drug information centers in Riyadh city</w:t>
              </w:r>
              <w:proofErr w:type="gram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,  Saudi</w:t>
              </w:r>
              <w:proofErr w:type="gram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 xml:space="preserve"> </w:t>
              </w:r>
              <w:proofErr w:type="spell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Arabia.Arab</w:t>
              </w:r>
              <w:proofErr w:type="spell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 xml:space="preserve"> Pharmaceutical Science Journal. 2003</w:t>
              </w:r>
              <w:proofErr w:type="gramStart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;4</w:t>
              </w:r>
              <w:proofErr w:type="gramEnd"/>
              <w:r w:rsidRPr="009F5569">
                <w:rPr>
                  <w:rFonts w:ascii="Verdana" w:eastAsia="Times New Roman" w:hAnsi="Verdana" w:cs="Times New Roman"/>
                  <w:sz w:val="17"/>
                  <w:szCs w:val="17"/>
                </w:rPr>
                <w:t>(9);27-38.</w:t>
              </w:r>
            </w:hyperlink>
          </w:p>
          <w:p w:rsidR="004C56AE" w:rsidRPr="009F5569" w:rsidRDefault="004C56AE" w:rsidP="006B564D">
            <w:pPr>
              <w:spacing w:after="0" w:line="253" w:lineRule="atLeast"/>
              <w:ind w:right="72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lastRenderedPageBreak/>
              <w:t>9.</w:t>
            </w:r>
            <w:r w:rsidRPr="009F5569">
              <w:rPr>
                <w:rFonts w:ascii="Times New Roman" w:eastAsia="Times New Roman" w:hAnsi="Times New Roman" w:cs="Times New Roman"/>
                <w:color w:val="0080FF"/>
                <w:sz w:val="14"/>
                <w:szCs w:val="14"/>
              </w:rPr>
              <w:t> </w:t>
            </w:r>
            <w:hyperlink r:id="rId13" w:history="1"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Ibrahim A.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Alsarra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, </w:t>
              </w:r>
              <w:r w:rsidRPr="009F5569">
                <w:rPr>
                  <w:rFonts w:ascii="Century" w:eastAsia="Times New Roman" w:hAnsi="Century" w:cs="Times New Roman"/>
                  <w:b/>
                  <w:bCs/>
                  <w:color w:val="0080FF"/>
                  <w:sz w:val="24"/>
                  <w:szCs w:val="24"/>
                </w:rPr>
                <w:t>Mohammed N. Alarifi</w:t>
              </w:r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, Validated liquid chromatographic determination of 5-flourouracil in human plasma. Journal of Chromatography B</w:t>
              </w:r>
              <w:proofErr w:type="gram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,.</w:t>
              </w:r>
              <w:proofErr w:type="gram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 2004</w:t>
              </w:r>
              <w:proofErr w:type="gram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;804:435</w:t>
              </w:r>
              <w:proofErr w:type="gram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-439.</w:t>
              </w:r>
            </w:hyperlink>
          </w:p>
          <w:p w:rsidR="004C56AE" w:rsidRPr="009F5569" w:rsidRDefault="004C56AE" w:rsidP="006B564D">
            <w:pPr>
              <w:spacing w:after="0" w:line="253" w:lineRule="atLeast"/>
              <w:ind w:right="72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10.</w:t>
            </w:r>
            <w:r w:rsidRPr="009F5569">
              <w:rPr>
                <w:rFonts w:ascii="Times New Roman" w:eastAsia="Times New Roman" w:hAnsi="Times New Roman" w:cs="Times New Roman"/>
                <w:color w:val="0080FF"/>
                <w:sz w:val="14"/>
                <w:szCs w:val="14"/>
              </w:rPr>
              <w:t> </w:t>
            </w:r>
            <w:hyperlink r:id="rId14" w:history="1"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Mohammed H.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Daba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, MD, PhD, Kamal E. El-Tahir, B. pharm, PhD, </w:t>
              </w:r>
              <w:r w:rsidRPr="009F5569">
                <w:rPr>
                  <w:rFonts w:ascii="Century" w:eastAsia="Times New Roman" w:hAnsi="Century" w:cs="Times New Roman"/>
                  <w:b/>
                  <w:bCs/>
                  <w:color w:val="0080FF"/>
                  <w:sz w:val="24"/>
                  <w:szCs w:val="24"/>
                </w:rPr>
                <w:t>Mohammed N. Al-Arifi, B. Pharm., PhD</w:t>
              </w:r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, Othman A.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Gubara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, B. Pharm.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MsC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., Drug-Induced pulmonary fibrosis, Saudi Med J. 2004;25(6):700-706.</w:t>
              </w:r>
            </w:hyperlink>
          </w:p>
          <w:p w:rsidR="004C56AE" w:rsidRPr="009F5569" w:rsidRDefault="004C56AE" w:rsidP="006B564D">
            <w:pPr>
              <w:spacing w:after="0" w:line="253" w:lineRule="atLeast"/>
              <w:ind w:right="72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11.</w:t>
            </w:r>
            <w:r w:rsidRPr="009F5569">
              <w:rPr>
                <w:rFonts w:ascii="Times New Roman" w:eastAsia="Times New Roman" w:hAnsi="Times New Roman" w:cs="Times New Roman"/>
                <w:color w:val="0080FF"/>
                <w:sz w:val="14"/>
                <w:szCs w:val="14"/>
              </w:rPr>
              <w:t> </w:t>
            </w:r>
            <w:hyperlink r:id="rId15" w:history="1">
              <w:r w:rsidRPr="009F5569">
                <w:rPr>
                  <w:rFonts w:ascii="Century" w:eastAsia="Times New Roman" w:hAnsi="Century" w:cs="Times New Roman"/>
                  <w:b/>
                  <w:bCs/>
                  <w:sz w:val="24"/>
                  <w:szCs w:val="24"/>
                </w:rPr>
                <w:t>M. N. Al-Arifi,</w:t>
              </w:r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 Prevalence of Smoking and Attitude Towards Smoking Cessation Among Community Pharmacists, Saudi Arabia. J of Phar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Technol</w:t>
              </w:r>
              <w:proofErr w:type="spell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, 2004; 20: 329-33.</w:t>
              </w:r>
            </w:hyperlink>
          </w:p>
          <w:p w:rsidR="004C56AE" w:rsidRPr="009F5569" w:rsidRDefault="004C56AE" w:rsidP="006B564D">
            <w:pPr>
              <w:spacing w:after="0" w:line="253" w:lineRule="atLeast"/>
              <w:ind w:right="72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12.</w:t>
            </w:r>
            <w:r w:rsidRPr="009F5569">
              <w:rPr>
                <w:rFonts w:ascii="Times New Roman" w:eastAsia="Times New Roman" w:hAnsi="Times New Roman" w:cs="Times New Roman"/>
                <w:color w:val="0080FF"/>
                <w:sz w:val="14"/>
                <w:szCs w:val="14"/>
              </w:rPr>
              <w:t> </w:t>
            </w:r>
            <w:hyperlink r:id="rId16" w:history="1">
              <w:r w:rsidRPr="009F5569">
                <w:rPr>
                  <w:rFonts w:ascii="Century" w:eastAsia="Times New Roman" w:hAnsi="Century" w:cs="Times New Roman"/>
                  <w:b/>
                  <w:bCs/>
                  <w:sz w:val="24"/>
                  <w:szCs w:val="24"/>
                </w:rPr>
                <w:t>Mohammed N. Al-Arifi.</w:t>
              </w:r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 Smoking Habits among Pharmacy at a University in Central Saudi Arabia. Saudi Med J. 2005</w:t>
              </w:r>
              <w:proofErr w:type="gram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;25</w:t>
              </w:r>
              <w:proofErr w:type="gram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(5):893-895.</w:t>
              </w:r>
            </w:hyperlink>
          </w:p>
          <w:p w:rsidR="004C56AE" w:rsidRPr="009F5569" w:rsidRDefault="004C56AE" w:rsidP="006B564D">
            <w:pPr>
              <w:spacing w:after="0" w:line="253" w:lineRule="atLeast"/>
              <w:ind w:right="72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13.</w:t>
            </w:r>
            <w:r w:rsidRPr="009F5569">
              <w:rPr>
                <w:rFonts w:ascii="Times New Roman" w:eastAsia="Times New Roman" w:hAnsi="Times New Roman" w:cs="Times New Roman"/>
                <w:color w:val="0080FF"/>
                <w:sz w:val="14"/>
                <w:szCs w:val="14"/>
              </w:rPr>
              <w:t> </w:t>
            </w:r>
            <w:hyperlink r:id="rId17" w:history="1"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Mohamed Abdulrahman Al-Omar, </w:t>
              </w:r>
              <w:r w:rsidRPr="009F5569">
                <w:rPr>
                  <w:rFonts w:ascii="Century" w:eastAsia="Times New Roman" w:hAnsi="Century" w:cs="Times New Roman"/>
                  <w:b/>
                  <w:bCs/>
                  <w:color w:val="0080FF"/>
                  <w:sz w:val="24"/>
                  <w:szCs w:val="24"/>
                </w:rPr>
                <w:t>Mohammed Nasir Al-Arifi</w:t>
              </w:r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. Comparative effects of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Scopoletin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 and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Menadione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 in aldehyde oxidase activity of guinea pig liver. Journal of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Biologcal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 Sciences. (2005), 5(4), 525-531.</w:t>
              </w:r>
            </w:hyperlink>
          </w:p>
          <w:p w:rsidR="004C56AE" w:rsidRPr="009F5569" w:rsidRDefault="004C56AE" w:rsidP="006B564D">
            <w:pPr>
              <w:spacing w:after="0" w:line="253" w:lineRule="atLeast"/>
              <w:ind w:right="72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14.</w:t>
            </w:r>
            <w:r w:rsidRPr="009F5569">
              <w:rPr>
                <w:rFonts w:ascii="Times New Roman" w:eastAsia="Times New Roman" w:hAnsi="Times New Roman" w:cs="Times New Roman"/>
                <w:color w:val="0080FF"/>
                <w:sz w:val="14"/>
                <w:szCs w:val="14"/>
              </w:rPr>
              <w:t> </w:t>
            </w:r>
            <w:hyperlink r:id="rId18" w:history="1">
              <w:r w:rsidRPr="009F5569">
                <w:rPr>
                  <w:rFonts w:ascii="Century" w:eastAsia="Times New Roman" w:hAnsi="Century" w:cs="Times New Roman"/>
                  <w:b/>
                  <w:bCs/>
                  <w:sz w:val="24"/>
                  <w:szCs w:val="24"/>
                </w:rPr>
                <w:t>Mohammed Nasir Al-Arifi.</w:t>
              </w:r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 Estimation Of the amount of 210Po released with the smoke stream into smoker's lungs from cigarette tobacco and some smoking-pastes in Saudi Arabia. Journal of Medical Sciences. (2005), 5(2), 83-88.</w:t>
              </w:r>
            </w:hyperlink>
          </w:p>
          <w:p w:rsidR="004C56AE" w:rsidRPr="009F5569" w:rsidRDefault="004C56AE" w:rsidP="006B564D">
            <w:pPr>
              <w:spacing w:after="0" w:line="253" w:lineRule="atLeast"/>
              <w:ind w:right="72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15.</w:t>
            </w:r>
            <w:r w:rsidRPr="009F5569">
              <w:rPr>
                <w:rFonts w:ascii="Times New Roman" w:eastAsia="Times New Roman" w:hAnsi="Times New Roman" w:cs="Times New Roman"/>
                <w:color w:val="0080FF"/>
                <w:sz w:val="14"/>
                <w:szCs w:val="14"/>
              </w:rPr>
              <w:t> </w:t>
            </w:r>
            <w:hyperlink r:id="rId19" w:history="1"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Mohamed A. Al-Omar and</w:t>
              </w:r>
              <w:r w:rsidRPr="009F5569">
                <w:rPr>
                  <w:rFonts w:ascii="Century" w:eastAsia="Times New Roman" w:hAnsi="Century" w:cs="Times New Roman"/>
                  <w:b/>
                  <w:bCs/>
                  <w:color w:val="0080FF"/>
                  <w:sz w:val="24"/>
                  <w:szCs w:val="24"/>
                </w:rPr>
                <w:t> Mohammed Nasir Al-Arifi.</w:t>
              </w:r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 Glucagon-like peptide-derivatives and dipeptidyl peptidase-iv inhibitors. New hope for treatment of type-2 diabetes. Saudi Medical Journal. 2005, 26(10), 1511-1515.</w:t>
              </w:r>
            </w:hyperlink>
          </w:p>
          <w:p w:rsidR="004C56AE" w:rsidRPr="009F5569" w:rsidRDefault="004C56AE" w:rsidP="006B564D">
            <w:pPr>
              <w:spacing w:after="0" w:line="253" w:lineRule="atLeast"/>
              <w:ind w:right="72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16.</w:t>
            </w:r>
            <w:r w:rsidRPr="009F5569">
              <w:rPr>
                <w:rFonts w:ascii="Times New Roman" w:eastAsia="Times New Roman" w:hAnsi="Times New Roman" w:cs="Times New Roman"/>
                <w:color w:val="0080FF"/>
                <w:sz w:val="14"/>
                <w:szCs w:val="14"/>
              </w:rPr>
              <w:t> </w:t>
            </w:r>
            <w:hyperlink r:id="rId20" w:history="1"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Mohamed A. Al-Omar and</w:t>
              </w:r>
              <w:r w:rsidRPr="009F5569">
                <w:rPr>
                  <w:rFonts w:ascii="Century" w:eastAsia="Times New Roman" w:hAnsi="Century" w:cs="Times New Roman"/>
                  <w:b/>
                  <w:bCs/>
                  <w:color w:val="0080FF"/>
                  <w:sz w:val="24"/>
                  <w:szCs w:val="24"/>
                </w:rPr>
                <w:t> Mohammed Nasir Al-Arifi</w:t>
              </w:r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. Current and New Strategies in Therapy of Neurodegenerative Disorders: Amyotrophic Lateral Sclerosis as a Model.   Arab Pharmaceutical Science Journal. 2005</w:t>
              </w:r>
              <w:proofErr w:type="gram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;3</w:t>
              </w:r>
              <w:proofErr w:type="gram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(1);105-112.</w:t>
              </w:r>
            </w:hyperlink>
          </w:p>
          <w:p w:rsidR="004C56AE" w:rsidRPr="009F5569" w:rsidRDefault="004C56AE" w:rsidP="006B564D">
            <w:pPr>
              <w:spacing w:after="0" w:line="253" w:lineRule="atLeast"/>
              <w:ind w:right="72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17.</w:t>
            </w:r>
            <w:r w:rsidRPr="009F5569">
              <w:rPr>
                <w:rFonts w:ascii="Times New Roman" w:eastAsia="Times New Roman" w:hAnsi="Times New Roman" w:cs="Times New Roman"/>
                <w:color w:val="0080FF"/>
                <w:sz w:val="14"/>
                <w:szCs w:val="14"/>
              </w:rPr>
              <w:t> </w:t>
            </w:r>
            <w:hyperlink r:id="rId21" w:history="1">
              <w:r w:rsidRPr="009F5569">
                <w:rPr>
                  <w:rFonts w:ascii="Century" w:eastAsia="Times New Roman" w:hAnsi="Century" w:cs="Times New Roman"/>
                  <w:b/>
                  <w:bCs/>
                  <w:sz w:val="24"/>
                  <w:szCs w:val="24"/>
                </w:rPr>
                <w:t>M.N. Al-Arifi,</w:t>
              </w:r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 K.M.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Alkharfy</w:t>
              </w:r>
              <w:proofErr w:type="spell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, S.A. Al-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Suwayeh</w:t>
              </w:r>
              <w:proofErr w:type="spell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, K.A.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Aleissa</w:t>
              </w:r>
              <w:proofErr w:type="spell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, A.A.,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Shabana</w:t>
              </w:r>
              <w:proofErr w:type="spell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, E. I. Al-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Dhuwaili</w:t>
              </w:r>
              <w:proofErr w:type="spellEnd"/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 xml:space="preserve"> and M.I. Al-Hassan. Levels of </w:t>
              </w:r>
              <w:r w:rsidRPr="009F5569">
                <w:rPr>
                  <w:rFonts w:ascii="Century" w:eastAsia="Times New Roman" w:hAnsi="Century" w:cs="Times New Roman"/>
                  <w:sz w:val="24"/>
                  <w:szCs w:val="24"/>
                  <w:vertAlign w:val="superscript"/>
                </w:rPr>
                <w:t>210</w:t>
              </w:r>
              <w:r w:rsidRPr="009F5569">
                <w:rPr>
                  <w:rFonts w:ascii="Century" w:eastAsia="Times New Roman" w:hAnsi="Century" w:cs="Times New Roman"/>
                  <w:sz w:val="24"/>
                  <w:szCs w:val="24"/>
                </w:rPr>
                <w:t>po in Blood, Urine and Hair of Some Saudi Smokers. Journal of Radio analytical and Nuclear Chemistry. 2006; 269(1); 115-118.</w:t>
              </w:r>
            </w:hyperlink>
          </w:p>
          <w:p w:rsidR="004C56AE" w:rsidRPr="009F5569" w:rsidRDefault="004C56AE" w:rsidP="006B564D">
            <w:pPr>
              <w:spacing w:after="0" w:line="253" w:lineRule="atLeast"/>
              <w:ind w:right="72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72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18.</w:t>
            </w:r>
            <w:r w:rsidRPr="009F5569">
              <w:rPr>
                <w:rFonts w:ascii="Times New Roman" w:eastAsia="Times New Roman" w:hAnsi="Times New Roman" w:cs="Times New Roman"/>
                <w:color w:val="0080FF"/>
                <w:sz w:val="14"/>
                <w:szCs w:val="14"/>
              </w:rPr>
              <w:t> </w:t>
            </w:r>
            <w:hyperlink r:id="rId22" w:history="1"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Yusuf A.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Asiri</w:t>
              </w:r>
              <w:proofErr w:type="spellEnd"/>
              <w:r w:rsidRPr="009F5569">
                <w:rPr>
                  <w:rFonts w:ascii="Century" w:eastAsia="Times New Roman" w:hAnsi="Century" w:cs="Times New Roman"/>
                  <w:b/>
                  <w:bCs/>
                  <w:color w:val="0080FF"/>
                  <w:sz w:val="24"/>
                  <w:szCs w:val="24"/>
                </w:rPr>
                <w:t>, Mohammed N. Al-Arifi</w:t>
              </w:r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, Mohammed S. Al-Sultan and Othman A. </w:t>
              </w:r>
              <w:proofErr w:type="spellStart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>Gubara</w:t>
              </w:r>
              <w:proofErr w:type="spellEnd"/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t xml:space="preserve">. Evaluation of Drug and Poison </w:t>
              </w:r>
              <w:r w:rsidRPr="009F5569">
                <w:rPr>
                  <w:rFonts w:ascii="Century" w:eastAsia="Times New Roman" w:hAnsi="Century" w:cs="Times New Roman"/>
                  <w:color w:val="0080FF"/>
                  <w:sz w:val="24"/>
                  <w:szCs w:val="24"/>
                </w:rPr>
                <w:lastRenderedPageBreak/>
                <w:t>Information Center in Saudi Arabia During the period of 2000-2002. Saudi Medical Journal. 2007; 28(4); 477-479.</w:t>
              </w:r>
            </w:hyperlink>
          </w:p>
          <w:p w:rsidR="004C56AE" w:rsidRPr="009F5569" w:rsidRDefault="004C56AE" w:rsidP="006B564D">
            <w:pPr>
              <w:spacing w:after="0" w:line="253" w:lineRule="atLeast"/>
              <w:ind w:right="720"/>
              <w:jc w:val="both"/>
              <w:rPr>
                <w:rFonts w:ascii="Calibri" w:eastAsia="Times New Roman" w:hAnsi="Calibri" w:cs="Times New Roman"/>
                <w:color w:val="55708A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63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color w:val="0080FF"/>
                <w:sz w:val="24"/>
                <w:szCs w:val="24"/>
              </w:rPr>
              <w:t>19.</w:t>
            </w:r>
            <w:r w:rsidRPr="009F5569">
              <w:rPr>
                <w:rFonts w:ascii="Times New Roman" w:eastAsia="Times New Roman" w:hAnsi="Times New Roman" w:cs="Times New Roman"/>
                <w:color w:val="0080FF"/>
                <w:sz w:val="14"/>
                <w:szCs w:val="14"/>
              </w:rPr>
              <w:t> </w:t>
            </w:r>
            <w:r w:rsidRPr="009F5569">
              <w:rPr>
                <w:rFonts w:ascii="Century" w:eastAsia="Times New Roman" w:hAnsi="Century" w:cs="Times New Roman"/>
                <w:b/>
                <w:bCs/>
                <w:sz w:val="24"/>
                <w:szCs w:val="24"/>
              </w:rPr>
              <w:t>Mohammed N. Al-Arifi,</w:t>
            </w:r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> </w:t>
            </w:r>
            <w:proofErr w:type="spellStart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>Abdulatif</w:t>
            </w:r>
            <w:proofErr w:type="spellEnd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 xml:space="preserve"> A. Al-</w:t>
            </w:r>
            <w:proofErr w:type="spellStart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>Dhuwaili</w:t>
            </w:r>
            <w:proofErr w:type="spellEnd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 xml:space="preserve">, Othman A. </w:t>
            </w:r>
            <w:proofErr w:type="spellStart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>Gubara</w:t>
            </w:r>
            <w:proofErr w:type="spellEnd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>, Husain A. Al-Omar, Mohammed S. Al-Sultan and Rajab I. Saeed. Pharmacists Understanding and Attitudes Towards Pharmaceutical Care in Saudi Arabia. Saudi Pharmaceutical Journal. 2007; 15(2); 133-146.</w:t>
            </w:r>
          </w:p>
          <w:p w:rsidR="004C56AE" w:rsidRPr="009F5569" w:rsidRDefault="004C56AE" w:rsidP="006B564D">
            <w:pPr>
              <w:spacing w:after="0" w:line="240" w:lineRule="auto"/>
              <w:ind w:left="720" w:right="63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63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 xml:space="preserve">20. Mohamed N Al-Arifi, Community pharmacists Attitude </w:t>
            </w:r>
            <w:proofErr w:type="spellStart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>Towrds</w:t>
            </w:r>
            <w:proofErr w:type="spellEnd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 xml:space="preserve"> Mental Illness and providing care to mentally ill patients. Neurosciences Journal, 2008</w:t>
            </w:r>
            <w:proofErr w:type="gramStart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>;13</w:t>
            </w:r>
            <w:proofErr w:type="gramEnd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>(4);412-420.</w:t>
            </w:r>
          </w:p>
          <w:p w:rsidR="004C56AE" w:rsidRPr="009F5569" w:rsidRDefault="004C56AE" w:rsidP="006B564D">
            <w:pPr>
              <w:spacing w:after="0" w:line="240" w:lineRule="auto"/>
              <w:ind w:left="720" w:right="63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  <w:t> </w:t>
            </w:r>
          </w:p>
          <w:p w:rsidR="004C56AE" w:rsidRPr="009F5569" w:rsidRDefault="004C56AE" w:rsidP="006B564D">
            <w:pPr>
              <w:spacing w:after="0" w:line="240" w:lineRule="auto"/>
              <w:ind w:left="720" w:right="63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 xml:space="preserve">21. Mohamed N Al-Arifi, Pharmacy </w:t>
            </w:r>
            <w:proofErr w:type="gramStart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>students</w:t>
            </w:r>
            <w:proofErr w:type="gramEnd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 xml:space="preserve"> attitudes </w:t>
            </w:r>
            <w:proofErr w:type="spellStart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>toword</w:t>
            </w:r>
            <w:proofErr w:type="spellEnd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 xml:space="preserve"> pharmaceutical care in Riyadh region Saudi Arabia, Pharmacy World &amp; Science Journal, 2009.</w:t>
            </w:r>
          </w:p>
          <w:p w:rsidR="004C56AE" w:rsidRPr="009F5569" w:rsidRDefault="004C56AE" w:rsidP="006B564D">
            <w:pPr>
              <w:spacing w:after="0" w:line="240" w:lineRule="auto"/>
              <w:ind w:left="720" w:right="63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 xml:space="preserve">22. Mohamed Al-Arifi, Evaluation and Attitude of Pharmacy Students </w:t>
            </w:r>
            <w:proofErr w:type="spellStart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>Towar</w:t>
            </w:r>
            <w:proofErr w:type="spellEnd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 xml:space="preserve"> drug information Courses, </w:t>
            </w:r>
            <w:proofErr w:type="spellStart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>Assuit</w:t>
            </w:r>
            <w:proofErr w:type="spellEnd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 xml:space="preserve"> Bulletin, 2009.</w:t>
            </w:r>
          </w:p>
          <w:p w:rsidR="004C56AE" w:rsidRPr="009F5569" w:rsidRDefault="004C56AE" w:rsidP="006B564D">
            <w:pPr>
              <w:spacing w:after="0" w:line="240" w:lineRule="auto"/>
              <w:ind w:left="720" w:right="63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 xml:space="preserve">23. </w:t>
            </w:r>
            <w:proofErr w:type="spellStart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>Asiri</w:t>
            </w:r>
            <w:proofErr w:type="spellEnd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 xml:space="preserve"> Y., Al-Arifi M., Polypharmacy and Patterns in drug prescribing at a primary Health Care Center in the Riyadh region Saudi Arabia, International Journal of Pharmacy Practice, 2010</w:t>
            </w:r>
          </w:p>
          <w:p w:rsidR="004C56AE" w:rsidRPr="009F5569" w:rsidRDefault="004C56AE" w:rsidP="006B564D">
            <w:pPr>
              <w:spacing w:after="0" w:line="240" w:lineRule="auto"/>
              <w:ind w:left="720" w:right="63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 xml:space="preserve">24.Al-Omar H and Al-Arifi M., Pharmacy student Use, Knowledge and Attitude Toward </w:t>
            </w:r>
            <w:proofErr w:type="spellStart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>cmolementry</w:t>
            </w:r>
            <w:proofErr w:type="spellEnd"/>
            <w:r w:rsidRPr="009F5569">
              <w:rPr>
                <w:rFonts w:ascii="Century" w:eastAsia="Times New Roman" w:hAnsi="Century" w:cs="Times New Roman"/>
                <w:sz w:val="24"/>
                <w:szCs w:val="24"/>
              </w:rPr>
              <w:t xml:space="preserve"> and Alternative Medicine at Riyadh Region Saudi Arabia, International journal of green pharmacy, 2011 </w:t>
            </w:r>
          </w:p>
          <w:p w:rsidR="004C56AE" w:rsidRPr="009F5569" w:rsidRDefault="004C56AE" w:rsidP="006B564D">
            <w:pPr>
              <w:spacing w:after="0" w:line="240" w:lineRule="auto"/>
              <w:ind w:left="720" w:right="630" w:hanging="360"/>
              <w:jc w:val="both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  <w:r w:rsidRPr="009F5569"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  <w:t> </w:t>
            </w:r>
          </w:p>
        </w:tc>
      </w:tr>
      <w:tr w:rsidR="004C56AE" w:rsidRPr="009F5569" w:rsidTr="006B564D">
        <w:trPr>
          <w:gridAfter w:val="1"/>
          <w:wAfter w:w="3456" w:type="dxa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"/>
              <w:gridCol w:w="283"/>
            </w:tblGrid>
            <w:tr w:rsidR="004C56AE" w:rsidRPr="009F5569" w:rsidTr="006B564D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0"/>
                  </w:tblGrid>
                  <w:tr w:rsidR="004C56AE" w:rsidRPr="009F5569" w:rsidTr="006B564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30"/>
                        </w:tblGrid>
                        <w:tr w:rsidR="004C56AE" w:rsidRPr="009F5569" w:rsidTr="006B564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4C56AE" w:rsidRPr="009F5569" w:rsidRDefault="004C56AE" w:rsidP="006B564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55708A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</w:tbl>
                      <w:p w:rsidR="004C56AE" w:rsidRPr="009F5569" w:rsidRDefault="004C56AE" w:rsidP="006B56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5708A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4C56AE" w:rsidRPr="009F5569" w:rsidRDefault="004C56AE" w:rsidP="006B56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5708A"/>
                      <w:sz w:val="17"/>
                      <w:szCs w:val="17"/>
                    </w:rPr>
                  </w:pPr>
                </w:p>
              </w:tc>
            </w:tr>
            <w:tr w:rsidR="004C56AE" w:rsidRPr="009F5569" w:rsidTr="006B564D">
              <w:trPr>
                <w:tblCellSpacing w:w="0" w:type="dxa"/>
              </w:trPr>
              <w:tc>
                <w:tcPr>
                  <w:tcW w:w="5000" w:type="pct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5"/>
                    <w:gridCol w:w="425"/>
                  </w:tblGrid>
                  <w:tr w:rsidR="004C56AE" w:rsidRPr="009F5569" w:rsidTr="006B564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C56AE" w:rsidRPr="009F5569" w:rsidRDefault="004C56AE" w:rsidP="006B56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56AE" w:rsidRPr="009F5569" w:rsidRDefault="004C56AE" w:rsidP="006B56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C56AE" w:rsidRPr="009F5569" w:rsidRDefault="004C56AE" w:rsidP="006B56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5708A"/>
                      <w:sz w:val="17"/>
                      <w:szCs w:val="17"/>
                    </w:rPr>
                  </w:pPr>
                </w:p>
              </w:tc>
            </w:tr>
            <w:tr w:rsidR="004C56AE" w:rsidRPr="009F5569" w:rsidTr="006B564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56AE" w:rsidRPr="009F5569" w:rsidRDefault="004C56AE" w:rsidP="006B5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C56AE" w:rsidRPr="009F5569" w:rsidRDefault="004C56AE" w:rsidP="006B5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C56AE" w:rsidRPr="009F5569" w:rsidRDefault="004C56AE" w:rsidP="006B5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56AE" w:rsidRPr="009F5569" w:rsidTr="006B564D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4C56AE" w:rsidRPr="009F5569" w:rsidRDefault="004C56AE" w:rsidP="006B5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C56AE" w:rsidRPr="009F5569" w:rsidRDefault="004C56AE" w:rsidP="006B564D">
            <w:pPr>
              <w:spacing w:after="0" w:line="240" w:lineRule="auto"/>
              <w:rPr>
                <w:rFonts w:ascii="Verdana" w:eastAsia="Times New Roman" w:hAnsi="Verdana" w:cs="Times New Roman"/>
                <w:color w:val="55708A"/>
                <w:sz w:val="17"/>
                <w:szCs w:val="17"/>
              </w:rPr>
            </w:pPr>
          </w:p>
        </w:tc>
      </w:tr>
    </w:tbl>
    <w:p w:rsidR="0052685D" w:rsidRDefault="0052685D"/>
    <w:sectPr w:rsidR="005268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4A"/>
    <w:rsid w:val="004C56AE"/>
    <w:rsid w:val="0052685D"/>
    <w:rsid w:val="00D7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9FA88-3D46-47BF-A390-9CEFD8FA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u.edu.sa/sites/Colleges/CollegeofPharmacy/Drug%20and%20Poison%20Information%20Center/Puplications/Rosiglitazone.pdf" TargetMode="External"/><Relationship Id="rId13" Type="http://schemas.openxmlformats.org/officeDocument/2006/relationships/hyperlink" Target="http://www.ksu.edu.sa/sites/Colleges/CollegeofPharmacy/Drug%20and%20Poison%20Information%20Center/Puplications/ValidatedLiquidChromatog.pdf" TargetMode="External"/><Relationship Id="rId18" Type="http://schemas.openxmlformats.org/officeDocument/2006/relationships/hyperlink" Target="http://www.ksu.edu.sa/sites/Colleges/CollegeofPharmacy/Drug%20and%20Poison%20Information%20Center/Puplications/EstimationOfPO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su.edu.sa/sites/Colleges/CollegeofPharmacy/Drug%20and%20Poison%20Information%20Center/Puplications/LevelsOfPO.pdf" TargetMode="External"/><Relationship Id="rId7" Type="http://schemas.openxmlformats.org/officeDocument/2006/relationships/hyperlink" Target="http://www.ksu.edu.sa/sites/Colleges/CollegeofPharmacy/Drug%20and%20Poison%20Information%20Center/Puplications/EvalOfTheCont.pdf" TargetMode="External"/><Relationship Id="rId12" Type="http://schemas.openxmlformats.org/officeDocument/2006/relationships/hyperlink" Target="http://www.ksu.edu.sa/sites/Colleges/CollegeofPharmacy/Drug%20and%20Poison%20Information%20Center/Puplications/Drug%20information%20center.pdf" TargetMode="External"/><Relationship Id="rId17" Type="http://schemas.openxmlformats.org/officeDocument/2006/relationships/hyperlink" Target="http://www.ksu.edu.sa/sites/Colleges/CollegeofPharmacy/Drug%20and%20Poison%20Information%20Center/Puplications/ComparativeEffect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su.edu.sa/sites/Colleges/CollegeofPharmacy/Drug%20and%20Poison%20Information%20Center/Puplications/SmokingHabbits.pdf" TargetMode="External"/><Relationship Id="rId20" Type="http://schemas.openxmlformats.org/officeDocument/2006/relationships/hyperlink" Target="http://www.ksu.edu.sa/sites/Colleges/CollegeofPharmacy/Drug%20and%20Poison%20Information%20Center/Puplications/Currentnewstertigies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su.edu.sa/sites/Colleges/CollegeofPharmacy/Drug%20and%20Poison%20Information%20Center/Puplications/ethical%20q.pdf" TargetMode="External"/><Relationship Id="rId11" Type="http://schemas.openxmlformats.org/officeDocument/2006/relationships/hyperlink" Target="http://www.ksu.edu.sa/sites/Colleges/CollegeofPharmacy/Drug%20and%20Poison%20Information%20Center/Puplications/TheroleInfection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ksu.edu.sa/sites/Colleges/CollegeofPharmacy/Drug%20and%20Poison%20Information%20Center/Puplications/Druginfocenters.pdf" TargetMode="External"/><Relationship Id="rId15" Type="http://schemas.openxmlformats.org/officeDocument/2006/relationships/hyperlink" Target="http://www.ksu.edu.sa/sites/Colleges/CollegeofPharmacy/Drug%20and%20Poison%20Information%20Center/Puplications/PrevalenceOfSmoking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su.edu.sa/sites/Colleges/CollegeofPharmacy/Drug%20and%20Poison%20Information%20Center/Puplications/Propofolthiopentone.pdf" TargetMode="External"/><Relationship Id="rId19" Type="http://schemas.openxmlformats.org/officeDocument/2006/relationships/hyperlink" Target="http://www.ksu.edu.sa/sites/Colleges/CollegeofPharmacy/Drug%20and%20Poison%20Information%20Center/Puplications/GlucagonLikePeptide.pdf" TargetMode="External"/><Relationship Id="rId4" Type="http://schemas.openxmlformats.org/officeDocument/2006/relationships/hyperlink" Target="mailto:malarifi@ksu.edu.sa" TargetMode="External"/><Relationship Id="rId9" Type="http://schemas.openxmlformats.org/officeDocument/2006/relationships/hyperlink" Target="http://www.ksu.edu.sa/sites/Colleges/CollegeofPharmacy/Drug%20and%20Poison%20Information%20Center/Puplications/TheRoleRofecoxib.pdf" TargetMode="External"/><Relationship Id="rId14" Type="http://schemas.openxmlformats.org/officeDocument/2006/relationships/hyperlink" Target="http://www.ksu.edu.sa/sites/Colleges/CollegeofPharmacy/Drug%20and%20Poison%20Information%20Center/Puplications/DrugInducedPulmonaryFibrosis.pdf" TargetMode="External"/><Relationship Id="rId22" Type="http://schemas.openxmlformats.org/officeDocument/2006/relationships/hyperlink" Target="http://www.ksu.edu.sa/sites/Colleges/CollegeofPharmacy/Drug%20and%20Poison%20Information%20Center/Puplications/evalOfDPICSaud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2075</Words>
  <Characters>11834</Characters>
  <Application>Microsoft Office Word</Application>
  <DocSecurity>0</DocSecurity>
  <Lines>98</Lines>
  <Paragraphs>27</Paragraphs>
  <ScaleCrop>false</ScaleCrop>
  <Company>King Saud University</Company>
  <LinksUpToDate>false</LinksUpToDate>
  <CharactersWithSpaces>13882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Abdullah Almansour</dc:creator>
  <cp:keywords/>
  <dc:description/>
  <cp:lastModifiedBy>Rayyan Abdullah Almansour</cp:lastModifiedBy>
  <cp:revision>2</cp:revision>
  <dcterms:created xsi:type="dcterms:W3CDTF">2016-03-27T11:05:00Z</dcterms:created>
  <dcterms:modified xsi:type="dcterms:W3CDTF">2016-03-27T11:06:00Z</dcterms:modified>
</cp:coreProperties>
</file>