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4F" w:rsidRDefault="00123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37" w:type="dxa"/>
        <w:tblInd w:w="-16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7"/>
      </w:tblGrid>
      <w:tr w:rsidR="0012394F" w:rsidTr="0012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jc w:val="center"/>
              <w:rPr>
                <w:rFonts w:cs="Calibri"/>
                <w:sz w:val="36"/>
                <w:szCs w:val="36"/>
              </w:rPr>
            </w:pPr>
            <w:proofErr w:type="spellStart"/>
            <w:r>
              <w:rPr>
                <w:rFonts w:cs="Calibri"/>
                <w:sz w:val="36"/>
                <w:szCs w:val="36"/>
              </w:rPr>
              <w:t>Dr.</w:t>
            </w:r>
            <w:proofErr w:type="spellEnd"/>
            <w:r>
              <w:rPr>
                <w:rFonts w:cs="Calibri"/>
                <w:sz w:val="36"/>
                <w:szCs w:val="36"/>
              </w:rPr>
              <w:t xml:space="preserve"> Md Tabish Rehman</w:t>
            </w:r>
          </w:p>
          <w:p w:rsidR="0012394F" w:rsidRDefault="00F9711B">
            <w:pPr>
              <w:spacing w:before="24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Email Id.: </w:t>
            </w:r>
            <w:hyperlink r:id="rId6">
              <w:r>
                <w:rPr>
                  <w:rFonts w:cs="Calibri"/>
                  <w:b w:val="0"/>
                  <w:sz w:val="24"/>
                  <w:szCs w:val="24"/>
                </w:rPr>
                <w:t>m.tabish.rehman@gmail.com</w:t>
              </w:r>
            </w:hyperlink>
            <w:r>
              <w:rPr>
                <w:rFonts w:cs="Calibri"/>
                <w:b w:val="0"/>
                <w:sz w:val="24"/>
                <w:szCs w:val="24"/>
              </w:rPr>
              <w:t>; mrehman@ksu.edu.sa</w:t>
            </w:r>
          </w:p>
          <w:p w:rsidR="0012394F" w:rsidRDefault="00F9711B">
            <w:pPr>
              <w:spacing w:after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 w:val="0"/>
                <w:sz w:val="24"/>
                <w:szCs w:val="24"/>
              </w:rPr>
              <w:t>Mobile No.: +966-556814200; Skype Id: tabish5413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</w:tcBorders>
            <w:shd w:val="clear" w:color="auto" w:fill="15C2FF"/>
          </w:tcPr>
          <w:p w:rsidR="0012394F" w:rsidRDefault="00F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APPOINTMENTS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12394F" w:rsidRDefault="00F9711B">
            <w:pPr>
              <w:widowControl w:val="0"/>
              <w:tabs>
                <w:tab w:val="right" w:pos="0"/>
              </w:tabs>
              <w:spacing w:before="120"/>
              <w:ind w:left="2400" w:hanging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Scientist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>Department of Pharmacognosy, College of Pharmacy, King Saud University, Riyadh, Kingdom Saudi Arabia (Mar., 2016 – till date)</w:t>
            </w:r>
          </w:p>
          <w:p w:rsidR="0012394F" w:rsidRDefault="00F9711B">
            <w:pPr>
              <w:widowControl w:val="0"/>
              <w:spacing w:before="120"/>
              <w:ind w:left="2400" w:hanging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Scientist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Science Engineering and Research Board, Department of Science and Technology,  New Delhi,  India (J</w:t>
            </w:r>
            <w:r>
              <w:rPr>
                <w:b w:val="0"/>
                <w:sz w:val="24"/>
                <w:szCs w:val="24"/>
              </w:rPr>
              <w:t>ul., 2015 – Feb., 2016)</w:t>
            </w:r>
          </w:p>
          <w:p w:rsidR="0012394F" w:rsidRDefault="00F9711B">
            <w:pPr>
              <w:widowControl w:val="0"/>
              <w:spacing w:before="120"/>
              <w:ind w:left="2410" w:hanging="2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Postdoctoral </w:t>
            </w:r>
            <w:proofErr w:type="gramStart"/>
            <w:r>
              <w:rPr>
                <w:sz w:val="24"/>
                <w:szCs w:val="24"/>
              </w:rPr>
              <w:t>Fellow  :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b w:val="0"/>
                <w:sz w:val="24"/>
                <w:szCs w:val="24"/>
              </w:rPr>
              <w:t>Dr.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 S Kothari Postdoctoral  Fellow, Interdisciplinary Biotechnology Unit, Aligarh Muslim University, Aligarh, UP, India (Apr., 2012 – Mar., 2015)</w:t>
            </w:r>
          </w:p>
          <w:p w:rsidR="0012394F" w:rsidRDefault="0012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cs="Calibri"/>
                <w:sz w:val="24"/>
                <w:szCs w:val="24"/>
              </w:rPr>
            </w:pP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EDUCATION AND TRAINING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12394F" w:rsidRDefault="0012394F">
            <w:pPr>
              <w:jc w:val="both"/>
              <w:rPr>
                <w:rFonts w:cs="Calibri"/>
                <w:sz w:val="24"/>
                <w:szCs w:val="24"/>
              </w:rPr>
            </w:pPr>
          </w:p>
          <w:tbl>
            <w:tblPr>
              <w:tblStyle w:val="a0"/>
              <w:tblW w:w="9604" w:type="dxa"/>
              <w:tblInd w:w="1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71"/>
              <w:gridCol w:w="7033"/>
            </w:tblGrid>
            <w:tr w:rsidR="0012394F">
              <w:trPr>
                <w:trHeight w:val="144"/>
              </w:trPr>
              <w:tc>
                <w:tcPr>
                  <w:tcW w:w="2571" w:type="dxa"/>
                  <w:vAlign w:val="center"/>
                </w:tcPr>
                <w:p w:rsidR="0012394F" w:rsidRDefault="00F9711B">
                  <w:pPr>
                    <w:spacing w:before="120" w:after="12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2007-2012</w:t>
                  </w:r>
                </w:p>
              </w:tc>
              <w:tc>
                <w:tcPr>
                  <w:tcW w:w="7033" w:type="dxa"/>
                </w:tcPr>
                <w:p w:rsidR="0012394F" w:rsidRDefault="00F9711B">
                  <w:pPr>
                    <w:spacing w:before="120" w:after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Ph.D. in Biological Sciences,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Jamia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Millia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Islamia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(Central University), New Delhi-110025 (India)</w:t>
                  </w:r>
                </w:p>
                <w:p w:rsidR="0012394F" w:rsidRDefault="00F9711B">
                  <w:pPr>
                    <w:spacing w:before="120" w:after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i/>
                    </w:rPr>
                    <w:t>Title:</w:t>
                  </w:r>
                  <w:r>
                    <w:t xml:space="preserve"> Mechanism of Human Pancreatic Ribonuclease (HPR) Action: Role of Stability and Double Stranded RNA Cleavage in Functional Activity.</w:t>
                  </w:r>
                </w:p>
              </w:tc>
            </w:tr>
            <w:tr w:rsidR="0012394F">
              <w:trPr>
                <w:trHeight w:val="144"/>
              </w:trPr>
              <w:tc>
                <w:tcPr>
                  <w:tcW w:w="2571" w:type="dxa"/>
                  <w:vAlign w:val="center"/>
                </w:tcPr>
                <w:p w:rsidR="0012394F" w:rsidRDefault="00F9711B">
                  <w:pPr>
                    <w:spacing w:before="120" w:after="12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2004-2006</w:t>
                  </w:r>
                </w:p>
              </w:tc>
              <w:tc>
                <w:tcPr>
                  <w:tcW w:w="7033" w:type="dxa"/>
                </w:tcPr>
                <w:p w:rsidR="0012394F" w:rsidRDefault="00F9711B">
                  <w:pPr>
                    <w:spacing w:before="120" w:after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M.Sc. in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Biotechnology, Aligarh Muslim University, Aligarh, UP-202002 (India)</w:t>
                  </w:r>
                </w:p>
                <w:p w:rsidR="0012394F" w:rsidRDefault="00F9711B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i/>
                    </w:rPr>
                    <w:t>Title:</w:t>
                  </w:r>
                  <w:r>
                    <w:rPr>
                      <w:rFonts w:cs="Calibri"/>
                    </w:rPr>
                    <w:t xml:space="preserve"> Studies on the anti-cariogenic properties of various herbal extracts.</w:t>
                  </w:r>
                </w:p>
              </w:tc>
            </w:tr>
            <w:tr w:rsidR="0012394F">
              <w:trPr>
                <w:trHeight w:val="144"/>
              </w:trPr>
              <w:tc>
                <w:tcPr>
                  <w:tcW w:w="2571" w:type="dxa"/>
                  <w:vAlign w:val="center"/>
                </w:tcPr>
                <w:p w:rsidR="0012394F" w:rsidRDefault="00F9711B">
                  <w:pPr>
                    <w:spacing w:before="120" w:after="12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2001-2004</w:t>
                  </w:r>
                </w:p>
              </w:tc>
              <w:tc>
                <w:tcPr>
                  <w:tcW w:w="7033" w:type="dxa"/>
                </w:tcPr>
                <w:p w:rsidR="0012394F" w:rsidRDefault="00F9711B">
                  <w:pPr>
                    <w:spacing w:before="120" w:after="120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B.Sc. (Hons.) in Industrial Chemistry, Aligarh Muslim University, Aligarh, UP-202002 (India) (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Univ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ersity Gold Medal</w:t>
                  </w:r>
                  <w:r>
                    <w:rPr>
                      <w:rFonts w:cs="Calibr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2394F" w:rsidRDefault="0012394F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AWARDS &amp; HONORS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numPr>
                <w:ilvl w:val="0"/>
                <w:numId w:val="5"/>
              </w:numPr>
              <w:spacing w:before="180"/>
              <w:ind w:left="357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Awarded Young Scientist project by Department of Science and Technology, Government of India, New Delhi, India (Project cost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3.1 million).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80"/>
              <w:ind w:left="357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Shortlisted to attend the ASM’s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Culture of Responsibility</w:t>
            </w:r>
            <w:r>
              <w:rPr>
                <w:rFonts w:cs="Calibri"/>
                <w:b w:val="0"/>
                <w:sz w:val="24"/>
                <w:szCs w:val="24"/>
              </w:rPr>
              <w:t xml:space="preserve"> “Train the Trainer workshop on Biosafety” by American Society for Microbiology, USA.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80"/>
              <w:ind w:left="357" w:hanging="357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Dr.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D S Kothari Post-Doctoral Fellowship by University Grants Commission (UGC), New Delhi, India.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20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Senior Research Fellowship by the Council of Scientific and Industrial Research (CSIR), New Delhi, India (Feb., 2009 – Jan., 2012).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20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Junior Research Fellowship by the Council of Scientific and Industrial Research (CSIR), New Delhi, India (Feb., 2007 – Jan.,</w:t>
            </w:r>
            <w:r>
              <w:rPr>
                <w:rFonts w:cs="Calibri"/>
                <w:b w:val="0"/>
                <w:sz w:val="24"/>
                <w:szCs w:val="24"/>
              </w:rPr>
              <w:t xml:space="preserve"> 2009).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20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Studentship in M.Sc. Biotechnology (2004-06) from Department of Biotechnology (DBT), Ministry of Science and Technology, Government of India.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20"/>
              <w:ind w:left="36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Prof.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Noor-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ul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-Hasan foundation Merit Scholarship in M.Sc. (Biotechnology) course (2004-06).</w:t>
            </w:r>
          </w:p>
          <w:p w:rsidR="0012394F" w:rsidRDefault="00F9711B">
            <w:pPr>
              <w:numPr>
                <w:ilvl w:val="0"/>
                <w:numId w:val="5"/>
              </w:numPr>
              <w:spacing w:before="120" w:after="240"/>
              <w:ind w:left="357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Aligarh Muslim</w:t>
            </w:r>
            <w:r>
              <w:rPr>
                <w:rFonts w:cs="Calibri"/>
                <w:b w:val="0"/>
                <w:sz w:val="24"/>
                <w:szCs w:val="24"/>
              </w:rPr>
              <w:t xml:space="preserve"> University Gold Medal for securing highest marks in B.Sc. (Hons.) Industrial Chemistry course (2004).</w:t>
            </w:r>
          </w:p>
          <w:p w:rsidR="0012394F" w:rsidRDefault="0012394F">
            <w:pPr>
              <w:spacing w:before="120" w:after="240"/>
              <w:ind w:left="35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NATIONAL LEVEL TEST FOR RESEARCH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numPr>
                <w:ilvl w:val="0"/>
                <w:numId w:val="5"/>
              </w:numPr>
              <w:spacing w:before="120" w:line="276" w:lineRule="auto"/>
              <w:ind w:left="272" w:hanging="27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Qualified Junior Research Fellowship (JRF) –June, 2006 conducted by CSIR - UGC.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74" w:hanging="27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Qualified National Eligibility Test (NET)–Dec., 2005 for lectureship conducted by CSIR - UGC.</w:t>
            </w:r>
          </w:p>
          <w:p w:rsidR="0012394F" w:rsidRDefault="00F9711B">
            <w:pPr>
              <w:numPr>
                <w:ilvl w:val="0"/>
                <w:numId w:val="5"/>
              </w:numPr>
              <w:spacing w:after="240" w:line="276" w:lineRule="auto"/>
              <w:ind w:left="274" w:hanging="27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Qualified Graduate Aptitude Test Examination (GATE) - 2006, with all India rank #724, conducted by Indian Institute of Technology (I.I.T.)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Kharagpur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India.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MEMBERSHIP OF SCIENTIFIC SOCIETIES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12394F" w:rsidRDefault="00F9711B">
            <w:pPr>
              <w:numPr>
                <w:ilvl w:val="0"/>
                <w:numId w:val="6"/>
              </w:numPr>
              <w:spacing w:before="120" w:line="276" w:lineRule="auto"/>
              <w:ind w:left="272" w:hanging="27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Member of American Society for Microbiology, USA (ID: 56951965).</w:t>
            </w:r>
          </w:p>
          <w:p w:rsidR="0012394F" w:rsidRDefault="00F9711B">
            <w:pPr>
              <w:numPr>
                <w:ilvl w:val="0"/>
                <w:numId w:val="6"/>
              </w:numPr>
              <w:spacing w:line="276" w:lineRule="auto"/>
              <w:ind w:left="272" w:hanging="27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Member of Biochemical Society, United Kingdom (ID: 01048549).</w:t>
            </w:r>
          </w:p>
          <w:p w:rsidR="0012394F" w:rsidRDefault="00F9711B">
            <w:pPr>
              <w:numPr>
                <w:ilvl w:val="0"/>
                <w:numId w:val="6"/>
              </w:numPr>
              <w:spacing w:line="276" w:lineRule="auto"/>
              <w:ind w:left="274" w:hanging="27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Lifetime member of Indian Society of Chemist and Biologist, India (ID: LF-639/2013)</w:t>
            </w:r>
          </w:p>
          <w:p w:rsidR="0012394F" w:rsidRDefault="00F9711B">
            <w:pPr>
              <w:numPr>
                <w:ilvl w:val="0"/>
                <w:numId w:val="6"/>
              </w:numPr>
              <w:spacing w:after="240" w:line="276" w:lineRule="auto"/>
              <w:ind w:left="274" w:hanging="27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Lifetime member of Indian Biophysical Society, India (ID: 739)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INVITED REVIEWER OF JOURNALS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12394F" w:rsidRDefault="00F9711B">
            <w:pPr>
              <w:numPr>
                <w:ilvl w:val="0"/>
                <w:numId w:val="1"/>
              </w:numPr>
              <w:spacing w:before="120" w:line="276" w:lineRule="auto"/>
              <w:ind w:left="272" w:hanging="27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Journal of Antimicrobial Chemotherapy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Scientific Reports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PLoS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One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International Journal of Biological Macromolecules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BBA-Proteins and Proteomics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International Journal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Nanomedicine</w:t>
            </w:r>
            <w:proofErr w:type="spellEnd"/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RSC Advances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Food Additive and Contaminants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New Journal of Chemistry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Infection and Drug Resistance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52" w:hanging="252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Acta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Pharmacologica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Sinica</w:t>
            </w:r>
            <w:proofErr w:type="spellEnd"/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Journal of Biomolecular Structure and Dynamics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Physical Chemistry Chemical Physics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Drug Design, Development and Therapy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Letters in Drug Design &amp; Discovery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Catalysts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Antibiotics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Current Drug Targets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Entropy</w:t>
            </w:r>
          </w:p>
          <w:p w:rsidR="0012394F" w:rsidRDefault="00F9711B">
            <w:pPr>
              <w:numPr>
                <w:ilvl w:val="0"/>
                <w:numId w:val="1"/>
              </w:numPr>
              <w:spacing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Cogent Chemistry</w:t>
            </w:r>
          </w:p>
          <w:p w:rsidR="0012394F" w:rsidRDefault="00F9711B">
            <w:pPr>
              <w:numPr>
                <w:ilvl w:val="0"/>
                <w:numId w:val="1"/>
              </w:numPr>
              <w:spacing w:after="120"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Journal of Molecular Recognition</w:t>
            </w:r>
          </w:p>
          <w:p w:rsidR="0012394F" w:rsidRDefault="00F9711B">
            <w:pPr>
              <w:numPr>
                <w:ilvl w:val="0"/>
                <w:numId w:val="1"/>
              </w:numPr>
              <w:spacing w:after="120" w:line="276" w:lineRule="auto"/>
              <w:ind w:left="274" w:hanging="27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Biomolecules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EDITORIAL BOARD MEMBERSHIP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12394F" w:rsidRDefault="00F9711B">
            <w:pPr>
              <w:numPr>
                <w:ilvl w:val="0"/>
                <w:numId w:val="2"/>
              </w:numPr>
              <w:spacing w:before="120" w:line="276" w:lineRule="auto"/>
              <w:ind w:left="272" w:hanging="27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International Journal of Biotechnology and Bioengineering Research (IJBBR) </w:t>
            </w:r>
          </w:p>
          <w:p w:rsidR="0012394F" w:rsidRDefault="00F9711B">
            <w:pPr>
              <w:numPr>
                <w:ilvl w:val="0"/>
                <w:numId w:val="2"/>
              </w:numPr>
              <w:spacing w:line="276" w:lineRule="auto"/>
              <w:ind w:left="274" w:hanging="27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Developmental Microbiology and Molecular Biology (DMMB)</w:t>
            </w:r>
          </w:p>
          <w:p w:rsidR="0012394F" w:rsidRDefault="00F9711B">
            <w:pPr>
              <w:numPr>
                <w:ilvl w:val="0"/>
                <w:numId w:val="2"/>
              </w:numPr>
              <w:spacing w:after="480" w:line="276" w:lineRule="auto"/>
              <w:ind w:left="274" w:hanging="27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Journal of Functional and Environmental Botany (JFEB)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CO-SUPERVISOR OF M.Sc. DISSERTATIONS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</w:tcPr>
          <w:p w:rsidR="0012394F" w:rsidRDefault="0012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  <w:tbl>
            <w:tblPr>
              <w:tblStyle w:val="a1"/>
              <w:tblW w:w="9229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0"/>
              <w:gridCol w:w="1710"/>
              <w:gridCol w:w="5930"/>
              <w:gridCol w:w="779"/>
            </w:tblGrid>
            <w:tr w:rsidR="0012394F">
              <w:trPr>
                <w:trHeight w:val="482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S. No.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12394F">
              <w:trPr>
                <w:trHeight w:val="964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Mohd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Faheem</w:t>
                  </w:r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Microbiological and Biochemical Characterization of Extended Spectrum </w:t>
                  </w:r>
                  <w:r>
                    <w:rPr>
                      <w:sz w:val="24"/>
                      <w:szCs w:val="24"/>
                    </w:rPr>
                    <w:t>β</w:t>
                  </w:r>
                  <w:r>
                    <w:rPr>
                      <w:rFonts w:cs="Calibri"/>
                      <w:sz w:val="24"/>
                      <w:szCs w:val="24"/>
                    </w:rPr>
                    <w:t>-Lactamase (ESBLs) from Bacterial Isolates of Clinical Origin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2013</w:t>
                  </w:r>
                </w:p>
              </w:tc>
            </w:tr>
            <w:tr w:rsidR="0012394F">
              <w:trPr>
                <w:trHeight w:val="832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Hira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Shamsi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Mapping the binding site of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Carbapenem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Drugs on Human Serum Albumin (HSA)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2014</w:t>
                  </w:r>
                </w:p>
              </w:tc>
            </w:tr>
            <w:tr w:rsidR="0012394F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Sarfraz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Ahmed</w:t>
                  </w:r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Characterizing the role of non-active site residues of New Delhi Metallo-</w:t>
                  </w:r>
                  <w:r>
                    <w:rPr>
                      <w:sz w:val="24"/>
                      <w:szCs w:val="24"/>
                    </w:rPr>
                    <w:t>β</w:t>
                  </w:r>
                  <w:r>
                    <w:rPr>
                      <w:rFonts w:cs="Calibri"/>
                      <w:sz w:val="24"/>
                      <w:szCs w:val="24"/>
                    </w:rPr>
                    <w:t>-Lactamase (NDM-1) in Antibiotic Resistance.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2015</w:t>
                  </w:r>
                </w:p>
              </w:tc>
            </w:tr>
            <w:tr w:rsidR="0012394F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Abdul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Mohsin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Understanding the Interaction between Schiff base-based Anticancer Metal Complexes and Human Serum Albumin: a Spectroscopic and Molecular Docking Study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2017</w:t>
                  </w:r>
                </w:p>
              </w:tc>
            </w:tr>
            <w:tr w:rsidR="0012394F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Multaq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Almalki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 spectroscopic and computational insight into the molecular interaction of Schi</w:t>
                  </w:r>
                  <w:r>
                    <w:rPr>
                      <w:rFonts w:cs="Calibri"/>
                      <w:sz w:val="24"/>
                      <w:szCs w:val="24"/>
                    </w:rPr>
                    <w:t>ff base organometallic complexes with α-acid glycoprotein (AGP)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2018</w:t>
                  </w:r>
                </w:p>
              </w:tc>
            </w:tr>
            <w:tr w:rsidR="0012394F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Meshary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Al-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Medeini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Mechanistic insight into the binding propensity of Azorubine (a food additive dye) with human serum albumin: a multi-spectroscopic and computational study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2019</w:t>
                  </w:r>
                </w:p>
              </w:tc>
            </w:tr>
            <w:tr w:rsidR="0012394F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710" w:type="dxa"/>
                  <w:vAlign w:val="center"/>
                </w:tcPr>
                <w:p w:rsidR="0012394F" w:rsidRDefault="00F9711B">
                  <w:p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Abdullah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Albassam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12394F" w:rsidRDefault="00F9711B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Computational approach for screening the activity of some natural products against substances addiction</w:t>
                  </w:r>
                </w:p>
              </w:tc>
              <w:tc>
                <w:tcPr>
                  <w:tcW w:w="779" w:type="dxa"/>
                  <w:vAlign w:val="center"/>
                </w:tcPr>
                <w:p w:rsidR="0012394F" w:rsidRDefault="00F9711B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2020</w:t>
                  </w:r>
                </w:p>
              </w:tc>
            </w:tr>
            <w:tr w:rsidR="0012394F">
              <w:trPr>
                <w:trHeight w:val="308"/>
              </w:trPr>
              <w:tc>
                <w:tcPr>
                  <w:tcW w:w="810" w:type="dxa"/>
                  <w:vAlign w:val="center"/>
                </w:tcPr>
                <w:p w:rsidR="0012394F" w:rsidRDefault="0012394F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12394F" w:rsidRDefault="0012394F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  <w:vAlign w:val="center"/>
                </w:tcPr>
                <w:p w:rsidR="0012394F" w:rsidRDefault="0012394F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12394F" w:rsidRDefault="0012394F">
                  <w:pPr>
                    <w:jc w:val="center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12394F" w:rsidRDefault="0012394F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PUBLICATIONS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spacing w:before="240" w:after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2021</w:t>
            </w:r>
          </w:p>
          <w:p w:rsidR="00CB3D47" w:rsidRDefault="00CB3D47" w:rsidP="002960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b w:val="0"/>
                <w:bCs/>
                <w:sz w:val="24"/>
                <w:szCs w:val="24"/>
              </w:rPr>
            </w:pPr>
            <w:proofErr w:type="spellStart"/>
            <w:r w:rsidRPr="00CB3D47">
              <w:rPr>
                <w:rFonts w:cs="Calibri"/>
                <w:b w:val="0"/>
                <w:bCs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P, Siddiqui NA, </w:t>
            </w:r>
            <w:r w:rsidRPr="00970E54"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bCs/>
                <w:sz w:val="24"/>
                <w:szCs w:val="24"/>
              </w:rPr>
              <w:t>, Hussain A, Akhtar A, Mir SM, AlAjmi MF</w:t>
            </w:r>
            <w:r w:rsidR="00A444CF">
              <w:rPr>
                <w:rFonts w:cs="Calibri"/>
                <w:b w:val="0"/>
                <w:bCs/>
                <w:sz w:val="24"/>
                <w:szCs w:val="24"/>
              </w:rPr>
              <w:t xml:space="preserve"> (2021)</w:t>
            </w:r>
            <w:r>
              <w:rPr>
                <w:rFonts w:cs="Calibri"/>
                <w:b w:val="0"/>
                <w:bCs/>
                <w:sz w:val="24"/>
                <w:szCs w:val="24"/>
              </w:rPr>
              <w:t xml:space="preserve">. </w:t>
            </w:r>
            <w:r w:rsidR="00FD7D61">
              <w:rPr>
                <w:rFonts w:cs="Calibri"/>
                <w:b w:val="0"/>
                <w:bCs/>
                <w:sz w:val="24"/>
                <w:szCs w:val="24"/>
              </w:rPr>
              <w:t>Box-</w:t>
            </w:r>
            <w:proofErr w:type="spellStart"/>
            <w:r w:rsidR="00FD7D61">
              <w:rPr>
                <w:rFonts w:cs="Calibri"/>
                <w:b w:val="0"/>
                <w:bCs/>
                <w:sz w:val="24"/>
                <w:szCs w:val="24"/>
              </w:rPr>
              <w:t>Behnken</w:t>
            </w:r>
            <w:proofErr w:type="spellEnd"/>
            <w:r w:rsidR="00FD7D61">
              <w:rPr>
                <w:rFonts w:cs="Calibri"/>
                <w:b w:val="0"/>
                <w:bCs/>
                <w:sz w:val="24"/>
                <w:szCs w:val="24"/>
              </w:rPr>
              <w:t xml:space="preserve"> design (BBD)-based optimization of microwave-assisted extraction of </w:t>
            </w:r>
            <w:proofErr w:type="spellStart"/>
            <w:r w:rsidR="00FD7D61">
              <w:rPr>
                <w:rFonts w:cs="Calibri"/>
                <w:b w:val="0"/>
                <w:bCs/>
                <w:sz w:val="24"/>
                <w:szCs w:val="24"/>
              </w:rPr>
              <w:t>parthenolide</w:t>
            </w:r>
            <w:proofErr w:type="spellEnd"/>
            <w:r w:rsidR="00FD7D61">
              <w:rPr>
                <w:rFonts w:cs="Calibri"/>
                <w:b w:val="0"/>
                <w:bCs/>
                <w:sz w:val="24"/>
                <w:szCs w:val="24"/>
              </w:rPr>
              <w:t xml:space="preserve"> from the stems of </w:t>
            </w:r>
            <w:proofErr w:type="spellStart"/>
            <w:r w:rsidR="00FD7D61">
              <w:rPr>
                <w:rFonts w:cs="Calibri"/>
                <w:b w:val="0"/>
                <w:bCs/>
                <w:sz w:val="24"/>
                <w:szCs w:val="24"/>
              </w:rPr>
              <w:t>Traconanthis</w:t>
            </w:r>
            <w:proofErr w:type="spellEnd"/>
            <w:r w:rsidR="00FD7D61">
              <w:rPr>
                <w:rFonts w:cs="Calibri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FD7D61">
              <w:rPr>
                <w:rFonts w:cs="Calibri"/>
                <w:b w:val="0"/>
                <w:bCs/>
                <w:sz w:val="24"/>
                <w:szCs w:val="24"/>
              </w:rPr>
              <w:t>camphoratus</w:t>
            </w:r>
            <w:proofErr w:type="spellEnd"/>
            <w:r w:rsidR="00FD7D61">
              <w:rPr>
                <w:rFonts w:cs="Calibri"/>
                <w:b w:val="0"/>
                <w:bCs/>
                <w:sz w:val="24"/>
                <w:szCs w:val="24"/>
              </w:rPr>
              <w:t xml:space="preserve"> and cytotoxic analysis. </w:t>
            </w:r>
            <w:r>
              <w:rPr>
                <w:rFonts w:cs="Calibri"/>
                <w:b w:val="0"/>
                <w:bCs/>
                <w:i/>
                <w:iCs/>
                <w:sz w:val="24"/>
                <w:szCs w:val="24"/>
              </w:rPr>
              <w:t xml:space="preserve">Molecules. </w:t>
            </w:r>
            <w:r>
              <w:rPr>
                <w:rFonts w:cs="Calibri"/>
                <w:b w:val="0"/>
                <w:bCs/>
                <w:sz w:val="24"/>
                <w:szCs w:val="24"/>
              </w:rPr>
              <w:t xml:space="preserve">2021 (26): 1876 (IF </w:t>
            </w:r>
            <w:r w:rsidR="00EC6AF0">
              <w:rPr>
                <w:rFonts w:cs="Calibri"/>
                <w:b w:val="0"/>
                <w:bCs/>
                <w:sz w:val="24"/>
                <w:szCs w:val="24"/>
              </w:rPr>
              <w:t>3.27)</w:t>
            </w:r>
          </w:p>
          <w:p w:rsidR="00970E54" w:rsidRPr="007D30F4" w:rsidRDefault="00970E54" w:rsidP="00970E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b w:val="0"/>
                <w:bCs/>
                <w:sz w:val="24"/>
                <w:szCs w:val="24"/>
                <w:highlight w:val="yellow"/>
              </w:rPr>
            </w:pPr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lastRenderedPageBreak/>
              <w:t xml:space="preserve">Mohammed FA, Abdul WM, </w:t>
            </w:r>
            <w:r w:rsidRPr="007D30F4">
              <w:rPr>
                <w:rFonts w:cs="Calibri"/>
                <w:sz w:val="24"/>
                <w:szCs w:val="24"/>
                <w:highlight w:val="yellow"/>
              </w:rPr>
              <w:t>Rehman MT</w:t>
            </w:r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, AlAjmi MF, Syed FQ, Mirza MB, </w:t>
            </w:r>
            <w:proofErr w:type="spellStart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>Elkady</w:t>
            </w:r>
            <w:proofErr w:type="spellEnd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AI, </w:t>
            </w:r>
            <w:proofErr w:type="spellStart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>Haque</w:t>
            </w:r>
            <w:proofErr w:type="spellEnd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A, Khan M</w:t>
            </w:r>
            <w:r w:rsidR="00A444CF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(2021)</w:t>
            </w:r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. Ethyl acetate fraction of </w:t>
            </w:r>
            <w:proofErr w:type="spellStart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>Anethum</w:t>
            </w:r>
            <w:proofErr w:type="spellEnd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>graveolens</w:t>
            </w:r>
            <w:proofErr w:type="spellEnd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seeds exerts an </w:t>
            </w:r>
            <w:proofErr w:type="spellStart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>antiproliferative</w:t>
            </w:r>
            <w:proofErr w:type="spellEnd"/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effect by inhibiting anti-apoptotic proteins in MCF-7 and PC-3 cells: An in vitro and molecular docking study. </w:t>
            </w:r>
            <w:r w:rsidRPr="007D30F4">
              <w:rPr>
                <w:rFonts w:cs="Calibri"/>
                <w:b w:val="0"/>
                <w:bCs/>
                <w:i/>
                <w:iCs/>
                <w:sz w:val="24"/>
                <w:szCs w:val="24"/>
                <w:highlight w:val="yellow"/>
              </w:rPr>
              <w:t>Pharmacognosy Magazine.</w:t>
            </w:r>
            <w:r w:rsidRPr="007D30F4">
              <w:rPr>
                <w:rFonts w:cs="Calibri"/>
                <w:b w:val="0"/>
                <w:bCs/>
                <w:sz w:val="24"/>
                <w:szCs w:val="24"/>
                <w:highlight w:val="yellow"/>
              </w:rPr>
              <w:t xml:space="preserve"> (In press) (IF 1.31)</w:t>
            </w:r>
          </w:p>
          <w:p w:rsidR="00296009" w:rsidRPr="00296009" w:rsidRDefault="00296009" w:rsidP="002960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Anjum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H,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Shahbaaz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M, Khan MS,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Ataya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FS,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Alamri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Alhumaydi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FA, Husain FM, </w:t>
            </w:r>
            <w:r w:rsidRPr="00296009"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bCs/>
                <w:sz w:val="24"/>
                <w:szCs w:val="24"/>
              </w:rPr>
              <w:t xml:space="preserve">, Mohammad T, Islam A,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Anjum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F,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A</w:t>
            </w:r>
            <w:r w:rsidR="00A444CF">
              <w:rPr>
                <w:rFonts w:cs="Calibri"/>
                <w:b w:val="0"/>
                <w:bCs/>
                <w:sz w:val="24"/>
                <w:szCs w:val="24"/>
              </w:rPr>
              <w:t xml:space="preserve"> (2021)</w:t>
            </w:r>
            <w:r>
              <w:rPr>
                <w:rFonts w:cs="Calibri"/>
                <w:b w:val="0"/>
                <w:bCs/>
                <w:sz w:val="24"/>
                <w:szCs w:val="24"/>
              </w:rPr>
              <w:t xml:space="preserve">. A computational study on active constituents of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Habb-ul-aas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Tabasheer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as inhibitors of SARS-CoV-2 main protease. </w:t>
            </w:r>
            <w:r>
              <w:rPr>
                <w:rFonts w:cs="Calibri"/>
                <w:b w:val="0"/>
                <w:bCs/>
                <w:i/>
                <w:iCs/>
                <w:sz w:val="24"/>
                <w:szCs w:val="24"/>
              </w:rPr>
              <w:t xml:space="preserve">Journal of Biomolecular Structure and Dynamics. </w:t>
            </w:r>
            <w:r>
              <w:rPr>
                <w:rFonts w:cs="Calibri"/>
                <w:b w:val="0"/>
                <w:bCs/>
                <w:sz w:val="24"/>
                <w:szCs w:val="24"/>
              </w:rPr>
              <w:t xml:space="preserve">(In Press) (IF 3.11) </w:t>
            </w:r>
            <w:r w:rsidRPr="00296009">
              <w:rPr>
                <w:rFonts w:cs="Calibri"/>
                <w:b w:val="0"/>
                <w:bCs/>
                <w:sz w:val="24"/>
                <w:szCs w:val="24"/>
              </w:rPr>
              <w:t>DOI: 10.1080/07391102.2021.1900920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Azhar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Hasan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Alshabr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AZ, Hussain A, Rehman MT (2021). Identification of Natural Compounds (Proanthocyanidin and Rhapontin) as High-Affinity Inhibitor of SARS-CoV-2 Mpro and PLpro using Computational Strategies.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Archive of Medical Sciences. </w:t>
            </w:r>
            <w:r>
              <w:rPr>
                <w:rFonts w:cs="Calibri"/>
                <w:b w:val="0"/>
                <w:sz w:val="24"/>
                <w:szCs w:val="24"/>
              </w:rPr>
              <w:t>(In press) (IF 2.81)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Gautam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Sehar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Z, Rehman MT, Hussain A, AlAjmi MF, Khan NA (2021). Nitric oxide enhances photosynthetic nitrogen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sulfur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-use efficiency and activity of ascorbate-glutamate cycle to reduce high temperature stress-induced oxidative s</w:t>
            </w:r>
            <w:r>
              <w:rPr>
                <w:rFonts w:cs="Calibri"/>
                <w:b w:val="0"/>
                <w:sz w:val="24"/>
                <w:szCs w:val="24"/>
              </w:rPr>
              <w:t>tress in rice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Oryza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sativa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L.) plants.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Biomolecules</w:t>
            </w:r>
            <w:r>
              <w:rPr>
                <w:rFonts w:cs="Calibri"/>
                <w:b w:val="0"/>
                <w:sz w:val="24"/>
                <w:szCs w:val="24"/>
              </w:rPr>
              <w:t>. 2021 (11): 305 (IF 4.08)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Mohammad T, Anwar S, Amani S, Khan MS, Husain FM, Rehman MT, Islam A, Hassan MI (2021). Potential drug targets of SARS-CoV-2: From genomics to therapeutics.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</w:t>
            </w:r>
            <w:r>
              <w:rPr>
                <w:rFonts w:cs="Calibri"/>
                <w:b w:val="0"/>
                <w:i/>
                <w:sz w:val="24"/>
                <w:szCs w:val="24"/>
              </w:rPr>
              <w:t>nal Journal of Biological Macromolecules</w:t>
            </w:r>
            <w:r>
              <w:rPr>
                <w:rFonts w:cs="Calibri"/>
                <w:b w:val="0"/>
                <w:sz w:val="24"/>
                <w:szCs w:val="24"/>
              </w:rPr>
              <w:t>. 177 (2021): 1-9 (IF 5.16)</w:t>
            </w:r>
            <w:r>
              <w:rPr>
                <w:rFonts w:cs="Calibri"/>
                <w:b w:val="0"/>
              </w:rPr>
              <w:t xml:space="preserve">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Alokail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Shaik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GM, Bhat SA, Rehman MT, Husain FM, AlAjmi MF (2021). Non-enzymatic glycation of protein induces cancer cell proliferation and its inhibition by quercet</w:t>
            </w:r>
            <w:r>
              <w:rPr>
                <w:rFonts w:cs="Calibri"/>
                <w:b w:val="0"/>
                <w:sz w:val="24"/>
                <w:szCs w:val="24"/>
              </w:rPr>
              <w:t xml:space="preserve">in: Spectroscopic, cytotoxicity and molecular docking study.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Journal of </w:t>
            </w:r>
            <w:r>
              <w:rPr>
                <w:b w:val="0"/>
                <w:i/>
                <w:sz w:val="24"/>
                <w:szCs w:val="24"/>
              </w:rPr>
              <w:t>Biom</w:t>
            </w:r>
            <w:r>
              <w:rPr>
                <w:rFonts w:cs="Calibri"/>
                <w:b w:val="0"/>
                <w:i/>
                <w:sz w:val="24"/>
                <w:szCs w:val="24"/>
              </w:rPr>
              <w:t>olecular Structure and Dynamics</w:t>
            </w:r>
            <w:r>
              <w:rPr>
                <w:rFonts w:cs="Calibri"/>
                <w:b w:val="0"/>
                <w:sz w:val="24"/>
                <w:szCs w:val="24"/>
              </w:rPr>
              <w:t>. 39(3): 777-786 (IF 3.11)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Jairajpuri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DS, 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Nasreen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K, 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Anjum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F, Rehman MT, Hasan GM, AlAjmi MF, Hassan MI (2021). Identification of natural compounds as potent inhibitors of SARS-CoV-2 main protease using combined docking and molecular dynamics simulation.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Journal of Biological Sciences </w:t>
            </w:r>
            <w:r>
              <w:rPr>
                <w:rFonts w:cs="Calibri"/>
                <w:b w:val="0"/>
                <w:sz w:val="24"/>
                <w:szCs w:val="24"/>
              </w:rPr>
              <w:t xml:space="preserve">(In Press) (IF 2.80). https://doi.org/10.1016/j.sjbs.2021.01.040 </w:t>
            </w:r>
          </w:p>
          <w:p w:rsidR="0012394F" w:rsidRDefault="00F9711B" w:rsidP="004C1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Arif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K, AlAjmi MF, Hussain A, Islam A, Rehman MT, Hassan MI (2021). Identification of high-affinity inhibitors of pyruvate dehydrogenase kinase-3:</w:t>
            </w:r>
            <w:r>
              <w:rPr>
                <w:rFonts w:cs="Calibri"/>
                <w:b w:val="0"/>
                <w:sz w:val="24"/>
                <w:szCs w:val="24"/>
              </w:rPr>
              <w:t xml:space="preserve"> towards therapeutic management of cancer.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Journal of </w:t>
            </w:r>
            <w:r w:rsidR="004C1289">
              <w:rPr>
                <w:rFonts w:cs="Calibri"/>
                <w:b w:val="0"/>
                <w:i/>
                <w:sz w:val="24"/>
                <w:szCs w:val="24"/>
              </w:rPr>
              <w:t>Biom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olecular Structure and Dynamics </w:t>
            </w:r>
            <w:r>
              <w:rPr>
                <w:rFonts w:cs="Calibri"/>
                <w:b w:val="0"/>
                <w:sz w:val="24"/>
                <w:szCs w:val="24"/>
              </w:rPr>
              <w:t>39(2):586-594 (IF 3.11) doi.org/10.1080/07391102.2020.1711810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Rehman MT*, AlAjmi MF, Hussain A (2021</w:t>
            </w:r>
            <w:r>
              <w:rPr>
                <w:rFonts w:cs="Calibri"/>
                <w:b w:val="0"/>
                <w:sz w:val="24"/>
                <w:szCs w:val="24"/>
              </w:rPr>
              <w:t>). Natural compounds as inhibitors of SARS-CoV-2 main protease (3CLpr</w:t>
            </w:r>
            <w:r>
              <w:rPr>
                <w:rFonts w:cs="Calibri"/>
                <w:b w:val="0"/>
                <w:sz w:val="24"/>
                <w:szCs w:val="24"/>
              </w:rPr>
              <w:t xml:space="preserve">o): A molecular docking and simulation approach to combat COVID-19.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Current Pharmaceutical Design </w:t>
            </w:r>
            <w:r>
              <w:rPr>
                <w:rFonts w:cs="Calibri"/>
                <w:b w:val="0"/>
                <w:sz w:val="24"/>
                <w:szCs w:val="24"/>
              </w:rPr>
              <w:t xml:space="preserve">(In Press) (IF 2.21) </w:t>
            </w: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DOI</w:t>
            </w:r>
            <w:r>
              <w:rPr>
                <w:rFonts w:ascii="Helvetica Neue" w:eastAsia="Helvetica Neue" w:hAnsi="Helvetica Neue" w:cs="Helvetica Neue"/>
                <w:b w:val="0"/>
                <w:sz w:val="21"/>
                <w:szCs w:val="21"/>
                <w:highlight w:val="white"/>
              </w:rPr>
              <w:t> </w:t>
            </w:r>
            <w:r>
              <w:rPr>
                <w:rFonts w:cs="Calibri"/>
                <w:b w:val="0"/>
                <w:sz w:val="24"/>
                <w:szCs w:val="24"/>
                <w:highlight w:val="white"/>
              </w:rPr>
              <w:t>: </w:t>
            </w:r>
            <w:hyperlink r:id="rId7">
              <w:r>
                <w:rPr>
                  <w:rFonts w:cs="Calibri"/>
                  <w:b w:val="0"/>
                  <w:sz w:val="24"/>
                  <w:szCs w:val="24"/>
                  <w:highlight w:val="white"/>
                </w:rPr>
                <w:t>10.2174/1381612826999201116195851</w:t>
              </w:r>
            </w:hyperlink>
            <w:r>
              <w:rPr>
                <w:rFonts w:cs="Calibri"/>
                <w:b w:val="0"/>
                <w:sz w:val="24"/>
                <w:szCs w:val="24"/>
              </w:rPr>
              <w:t xml:space="preserve"> (*Corresponding author)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/>
              <w:jc w:val="both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Khan JM, Sen P, Malik A,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AlAjmi MF, Ahmed A,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Alghamdi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OHA, Ahmad A, Ahmed MZ, Khan RH,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Anwer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MK (2021). Industrially important enzyme bovine live catalase forms reversible amyloid in the presence of 14-4-14 Gemini surfactant at physiological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pH.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Colloids and Surfaces A: Physicoc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hemical and Engineering Aspects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610 (2021): 125909 (IF 3.99)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jc w:val="both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</w:rPr>
              <w:lastRenderedPageBreak/>
              <w:t xml:space="preserve">Hussain I, Hussain A, AlAjmi MF,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Amir S (2021). Impact of repurposed drugs on the symptomatic COVID-19 patients.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Journal of Infection and Public Health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. 2021, 14: 24-28 (IF 2.45) 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240" w:after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</w:rPr>
              <w:t>Khan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na RR, Jahan B, Iqbal N, Khan NA, AlAjmi MF,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, Khan MIR</w:t>
            </w:r>
            <w:r>
              <w:rPr>
                <w:rFonts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(2021). GABA reverses salt-inhibited photosynthetic and growth responses</w:t>
            </w:r>
            <w:r>
              <w:rPr>
                <w:rFonts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through its influence on NO-mediated nitrogen-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sulfur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assimilation and antioxidant system in wheat.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Journal of Biotechn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ology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. 325 (2021): 73-82 (IF 3.50)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240" w:after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Jabir NR,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Alserihi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RF, AlAjmi MF, Khan MS, Hussain MF, Ahmed BA (2021). Identification of butyrylcholinesterase and monoamine oxidase B targeted ligands and their putative application in Alzheimer’s tr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eatment: A computational strategy.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Current Pharmaceutical Design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(In Press) (IF 2.21)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240" w:after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Mukta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NJ,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Mahbub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S, Abedin MJ, Hossain ME, Kumar D,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Hoque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MA, Khan MA,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Ahamed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 (2021). Effect of temperature and additives on the interaction of Ciprofloxacin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hydrochloride drug with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Polyvinylpyrrolidone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and bovine serum albumin: Spectroscopic and molecular docking study.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Journal of Oleo Science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(In Press) (IF 1.30)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: 10.5650/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jos.ess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20306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/>
              <w:jc w:val="both"/>
              <w:rPr>
                <w:rFonts w:cs="Calibri"/>
                <w:color w:val="222222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Tayagi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R,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P,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, AlAjmi MF, Hussain A, Amin S, Mir SR (202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1). A new cytotoxic dimeric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sesquiterpene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isolated from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Inula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racemose Hook. F. (root): In vitro and in silico analyses.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Separations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8 (2):1-14 (IF 1.90)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jc w:val="both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Islam B, Khan MS, Husain F,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, 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Alzughaibi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T,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Abuzenadah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AM, 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Urooj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M, Kamal MA,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S (2021)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. 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mTOR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targeting by different flavonoids for cancer prevention.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Current Medicinal Chemistry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. 2021, 28: 1-15 (IF: 4.18)</w:t>
            </w:r>
          </w:p>
          <w:p w:rsidR="00CB3D47" w:rsidRPr="00CB3D47" w:rsidRDefault="00F9711B" w:rsidP="00CB3D47">
            <w:pPr>
              <w:numPr>
                <w:ilvl w:val="0"/>
                <w:numId w:val="3"/>
              </w:numPr>
              <w:shd w:val="clear" w:color="auto" w:fill="FFFFFF"/>
              <w:spacing w:before="120"/>
              <w:jc w:val="both"/>
              <w:rPr>
                <w:rFonts w:cs="Calibri"/>
                <w:color w:val="222222"/>
                <w:sz w:val="24"/>
                <w:szCs w:val="24"/>
                <w:highlight w:val="yellow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>Al-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>Shabib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 xml:space="preserve"> N, Khan JM, Malik A, </w:t>
            </w:r>
            <w:r>
              <w:rPr>
                <w:rFonts w:cs="Calibri"/>
                <w:color w:val="222222"/>
                <w:sz w:val="24"/>
                <w:szCs w:val="24"/>
                <w:highlight w:val="yellow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 xml:space="preserve">, Husain FM, AlAjmi MF,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>Alghamdi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 xml:space="preserve"> O, Khan A (2021).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>Quinoline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 xml:space="preserve"> yellow dye stimulates whey protein fibrillation via electrostatic and hydrophobic interactions: A biophysical study.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  <w:highlight w:val="yellow"/>
              </w:rPr>
              <w:t>Journal of Dairy Science</w:t>
            </w:r>
            <w:r>
              <w:rPr>
                <w:rFonts w:cs="Calibri"/>
                <w:b w:val="0"/>
                <w:color w:val="222222"/>
                <w:sz w:val="24"/>
                <w:szCs w:val="24"/>
                <w:highlight w:val="yellow"/>
              </w:rPr>
              <w:t xml:space="preserve"> (In Press) (IF 3.33)</w:t>
            </w:r>
          </w:p>
          <w:p w:rsidR="0012394F" w:rsidRDefault="00F9711B">
            <w:pPr>
              <w:shd w:val="clear" w:color="auto" w:fill="FFFFFF"/>
              <w:spacing w:before="240" w:after="120" w:line="271" w:lineRule="auto"/>
              <w:ind w:left="360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2020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/>
              <w:jc w:val="both"/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Khan JM, Malik A,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AlAjmi MF, Ahmed MZ,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Almutairi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GO,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Anwer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MK, Khan RH (2020).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Cationic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gemini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surfactant stimulates amyloid fibril formation in bovine liver catalase at physiological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pH.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 biophysical study.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RSC Advances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. 2020, 10: 43751-43761. (IF 3.07)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/>
              <w:jc w:val="both"/>
              <w:rPr>
                <w:rFonts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Muteeb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G,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Alshoa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ibi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Aatif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Qayyum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MZ (2020). Screening marine algae metabolites as high affinity inhibitors of SARS-CoV-2 main protease (3CLpro): an in silico analysis to identify novel drug candidates to combat COVID-19 pandemic.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Applied Biological Chemis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try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. 2020, 63: 79. (IF 1.84)</w:t>
            </w:r>
          </w:p>
          <w:p w:rsidR="0012394F" w:rsidRDefault="00F9711B">
            <w:pPr>
              <w:numPr>
                <w:ilvl w:val="0"/>
                <w:numId w:val="3"/>
              </w:numPr>
              <w:shd w:val="clear" w:color="auto" w:fill="FFFFFF"/>
              <w:spacing w:before="120"/>
              <w:jc w:val="both"/>
              <w:rPr>
                <w:rFonts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Mahapatra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AD, Queen A,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Yousuf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M, Khan P, Hussain A, </w:t>
            </w:r>
            <w:r>
              <w:rPr>
                <w:rFonts w:cs="Calibri"/>
                <w:color w:val="222222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, AlAjmi MF, 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Datta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B, Hassan MI (2020). Design and development of 5-(4H)-</w:t>
            </w:r>
            <w:proofErr w:type="spellStart"/>
            <w:r>
              <w:rPr>
                <w:rFonts w:cs="Calibri"/>
                <w:b w:val="0"/>
                <w:color w:val="222222"/>
                <w:sz w:val="24"/>
                <w:szCs w:val="24"/>
              </w:rPr>
              <w:t>oxazolones</w:t>
            </w:r>
            <w:proofErr w:type="spellEnd"/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 as potential inhibitors of human carbonic anhydrase VA: towards therapeutic manage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 xml:space="preserve">ment of diabetes and obesity. </w:t>
            </w:r>
            <w:r>
              <w:rPr>
                <w:rFonts w:cs="Calibri"/>
                <w:b w:val="0"/>
                <w:i/>
                <w:color w:val="222222"/>
                <w:sz w:val="24"/>
                <w:szCs w:val="24"/>
              </w:rPr>
              <w:t>Journal of Biomolecular Structure and Dynamics</w:t>
            </w:r>
            <w:r>
              <w:rPr>
                <w:rFonts w:cs="Calibri"/>
                <w:b w:val="0"/>
                <w:color w:val="222222"/>
                <w:sz w:val="24"/>
                <w:szCs w:val="24"/>
              </w:rPr>
              <w:t>. (In press) (IF 3.11) https://doi.org/10.1080/07391102.2020.1845803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Javed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Urooj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Ahmed MI (2020). Heavy metal pollution and risk assessment by the battery of toxicity tests.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Scientific reports</w:t>
            </w:r>
            <w:r>
              <w:rPr>
                <w:rFonts w:cs="Calibri"/>
                <w:b w:val="0"/>
                <w:sz w:val="24"/>
                <w:szCs w:val="24"/>
              </w:rPr>
              <w:t>. 10:16593 (2020).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lastRenderedPageBreak/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AS, Husain FM, Rehman MT, AlAjmi MF, Noman OM, El-Gamal AA,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Massarani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SM, Khan MS. (2020).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Siphonocholin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isolated from red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seasponge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Siphonochalina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siphonella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attenuates quorum sensing controlled virulence and biofilm formation.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Saudi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Pharmaceutical Journal.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28: 1383-1391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Mohammad T, Amir M, Prasad K,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Batra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Kumar V, Hussain A, Rehman MT, AlAjmi MF, Hassan MI (2020). Impact of amino acid substitution in the kinase domain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Bruton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tyrosine kinase and its association with X-l</w:t>
            </w:r>
            <w:r>
              <w:rPr>
                <w:rFonts w:cs="Calibri"/>
                <w:b w:val="0"/>
                <w:sz w:val="24"/>
                <w:szCs w:val="24"/>
              </w:rPr>
              <w:t xml:space="preserve">inked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agammaglobulinemia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Journal of Biological Macromolecules</w:t>
            </w:r>
            <w:r>
              <w:rPr>
                <w:rFonts w:cs="Calibri"/>
                <w:b w:val="0"/>
                <w:sz w:val="24"/>
                <w:szCs w:val="24"/>
              </w:rPr>
              <w:t>. 164 (2020): 2399-2408 (IF 5.16) https://doi.org/10.1016/j.ijbiomac.2020.08.057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Anwar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Umair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Hussain A, Rehman MT, AlAjmi MI, Islam A, Hassan MI (2020).</w:t>
            </w:r>
            <w:r>
              <w:rPr>
                <w:rFonts w:cs="Calibri"/>
                <w:b w:val="0"/>
                <w:sz w:val="24"/>
                <w:szCs w:val="24"/>
              </w:rPr>
              <w:t xml:space="preserve"> Identification of high-affinity inhibitors of SARS-CoV-2 main protease: Towards the development of effective COVID-19 therapy.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Virus Research</w:t>
            </w:r>
            <w:r>
              <w:rPr>
                <w:rFonts w:cs="Calibri"/>
                <w:b w:val="0"/>
                <w:sz w:val="24"/>
                <w:szCs w:val="24"/>
              </w:rPr>
              <w:t>. 288 (2020): 198102 (IF 2.93)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Azhar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Owais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Rashid S, Hasan S, Hussain A, Rehman MT* (2020). Antiv</w:t>
            </w:r>
            <w:r>
              <w:rPr>
                <w:rFonts w:cs="Calibri"/>
                <w:b w:val="0"/>
                <w:sz w:val="24"/>
                <w:szCs w:val="24"/>
              </w:rPr>
              <w:t xml:space="preserve">iral potential of some novel structural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analogs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of standard drugs repurposed for the treatment of COVID-19.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Biomolecular Structure and Dynamics</w:t>
            </w:r>
            <w:r>
              <w:rPr>
                <w:rFonts w:cs="Calibri"/>
                <w:b w:val="0"/>
                <w:sz w:val="24"/>
                <w:szCs w:val="24"/>
              </w:rPr>
              <w:t xml:space="preserve"> (In press) (IF 3.11) https://doi.org/10.1080/07391102.2020.1799865 (*Corresponding author)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Jabir NR,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Shakil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Khan MS, Rehman MT, Ahmed BA (2020). In Silico screening of glycogen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synthease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kinase-3β targeted ligands against acetylcholinesterase and its probable relevance to Alzheimer’s disease.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Biomolecular Structure and Dynamics</w:t>
            </w:r>
            <w:r>
              <w:rPr>
                <w:rFonts w:cs="Calibri"/>
                <w:b w:val="0"/>
                <w:sz w:val="24"/>
                <w:szCs w:val="24"/>
              </w:rPr>
              <w:t xml:space="preserve"> (In</w:t>
            </w:r>
            <w:r>
              <w:rPr>
                <w:rFonts w:cs="Calibri"/>
                <w:b w:val="0"/>
                <w:sz w:val="24"/>
                <w:szCs w:val="24"/>
              </w:rPr>
              <w:t xml:space="preserve"> press) (IF 3.11) DOI: 10.1080/07391102.2020.1784796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Gupta P, Khan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Fakhar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Z, Hussain A, Rehman MT, AlAjmi MF, Islam A, Ahmad F, Hassan MI (2020). Identification of potential inhibitors of calcium/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calmodulin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-dependent protein kinase IV from bioactive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phy</w:t>
            </w:r>
            <w:r>
              <w:rPr>
                <w:rFonts w:cs="Calibri"/>
                <w:b w:val="0"/>
                <w:sz w:val="24"/>
                <w:szCs w:val="24"/>
              </w:rPr>
              <w:t>toconstituents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Oxidative Medicine and Cellular Longevity</w:t>
            </w:r>
            <w:r>
              <w:rPr>
                <w:rFonts w:cs="Calibri"/>
                <w:b w:val="0"/>
              </w:rPr>
              <w:t>. 2094635, 2020: 1-14 (IF 5.08)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Amir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Ishrat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AlAjmi MF, Hussain A, Rehman MT, Islam A, Ahmad F, Hassan MI,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Dohare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 (2020). A systems view of the genome guardians: Mapping the signalling</w:t>
            </w:r>
            <w:r>
              <w:rPr>
                <w:rFonts w:cs="Calibri"/>
                <w:b w:val="0"/>
                <w:sz w:val="24"/>
                <w:szCs w:val="24"/>
              </w:rPr>
              <w:t xml:space="preserve"> circuitry underlying oligonucleotide/oligosaccharide-binding (OB) fold proteins.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OMICS: A Journal of Integrative Biology</w:t>
            </w:r>
            <w:r>
              <w:rPr>
                <w:rFonts w:cs="Calibri"/>
                <w:b w:val="0"/>
                <w:sz w:val="24"/>
                <w:szCs w:val="24"/>
              </w:rPr>
              <w:t>. 24(9): 1-12 (IF 2.61)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Jairajpuri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DS, 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Adhikari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K, Gupta P, Hasan GM, AlAjmi MF, Rehman MT, Hussain A, Hassan MI (2020). Id</w:t>
            </w:r>
            <w:r>
              <w:rPr>
                <w:rFonts w:cs="Calibri"/>
                <w:b w:val="0"/>
                <w:sz w:val="24"/>
                <w:szCs w:val="24"/>
              </w:rPr>
              <w:t xml:space="preserve">entification of Sphingosine kinase-1 inhibitors from bioactive natural products targeting cancer therapy.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ACS Omega</w:t>
            </w:r>
            <w:r>
              <w:rPr>
                <w:rFonts w:cs="Calibri"/>
                <w:b w:val="0"/>
                <w:sz w:val="24"/>
                <w:szCs w:val="24"/>
              </w:rPr>
              <w:t xml:space="preserve">. 2020, 5(24): 14720-14729 (IF 2.55)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Roy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Mahapatra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AD, Mohammad T, Gupta P, AlAjmi MF, Hussain A,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Datta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B, Hassan MI (2020). D</w:t>
            </w:r>
            <w:r>
              <w:rPr>
                <w:rFonts w:cs="Calibri"/>
                <w:b w:val="0"/>
                <w:sz w:val="24"/>
                <w:szCs w:val="24"/>
              </w:rPr>
              <w:t xml:space="preserve">esign and development of novel urea, sulfonylurea and sulphonamide derivatives as potential inhibitors of sphingosine kinase 1.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Pharmaceuticals.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2020, 13(6): 118 (IF 3.80)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Dahiya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Mohammad T, AlAjmi MF, Rehman MT, Hasan GM, Hussain A, Hassan MI (2020). I</w:t>
            </w:r>
            <w:r>
              <w:rPr>
                <w:rFonts w:cs="Calibri"/>
                <w:b w:val="0"/>
                <w:sz w:val="24"/>
                <w:szCs w:val="24"/>
              </w:rPr>
              <w:t xml:space="preserve">nsights into the conserved regulatory mechanisms of human and yeast aging.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Biomolecules.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2020, 10: 882 (IF 4.69)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lastRenderedPageBreak/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Mohammad T, Anwar S, AlAjmi MF, Hussain A, Rehman MT, Islam A, Hassan MI (2020).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Glecaprevir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Maraviroc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are high-affinity inhibito</w:t>
            </w:r>
            <w:r>
              <w:rPr>
                <w:rFonts w:cs="Calibri"/>
                <w:b w:val="0"/>
                <w:sz w:val="24"/>
                <w:szCs w:val="24"/>
              </w:rPr>
              <w:t xml:space="preserve">rs of SARS-CoV-2 main protease: Possible therapeutic implications in COVID-19.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Biosciences Reports.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40(6): BST20201256 (IF 2.51)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Anwer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Mohammad T, AlAjmi MF, Hussain A, Rehman MT, Hasan GM, Islam A, Hassan MI (2020). MARK4 inhibited by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AChE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-in</w:t>
            </w:r>
            <w:r>
              <w:rPr>
                <w:rFonts w:cs="Calibri"/>
                <w:b w:val="0"/>
                <w:sz w:val="24"/>
                <w:szCs w:val="24"/>
              </w:rPr>
              <w:t xml:space="preserve">hibitors, Donepezil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Rivastigmine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tartrate: Insights into Alzheimer’s disease therapy.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Biomolecules.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10: 789 (IF 4.69).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Qais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FA, Rehman MT, Ismail MH,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Alokail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Altwaijry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Alafaleq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NO, AlAjmi MF, Salem N,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Alqhatani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 (2020). Mechanistic inh</w:t>
            </w:r>
            <w:r>
              <w:rPr>
                <w:rFonts w:cs="Calibri"/>
                <w:b w:val="0"/>
                <w:sz w:val="24"/>
                <w:szCs w:val="24"/>
              </w:rPr>
              <w:t xml:space="preserve">ibition of non-enzymatic glycation and aldose reductase activity by naringenin: Binding, enzyme kinetics and molecular docking analysis.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International Journal of Biological Macromolecules. </w:t>
            </w:r>
            <w:r>
              <w:rPr>
                <w:rFonts w:cs="Calibri"/>
                <w:b w:val="0"/>
                <w:sz w:val="24"/>
                <w:szCs w:val="24"/>
              </w:rPr>
              <w:t>159 (2020): 87-97 (IF 4.78)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Alokail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 (2020). Al (III) metal augments thermal aggregation and fibrillation in proteins: Role of metal toxicity in neurological diseases.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Journal of Biological Sciences.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27 (2020): 2221-2226 (IF 2.82)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Khan JM, Malik A, Rehman MT, AlAjmi MF, Husain MF, Ahmed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Alamery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SF (2020). Molecular interactions of food additive dye quinolone yellow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Qy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) with alpha-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lactalbumin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: spectroscopic and computational studies.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Journal of Molecular Liquids. </w:t>
            </w:r>
            <w:r>
              <w:rPr>
                <w:rFonts w:cs="Calibri"/>
                <w:b w:val="0"/>
                <w:sz w:val="24"/>
                <w:szCs w:val="24"/>
              </w:rPr>
              <w:t>31</w:t>
            </w:r>
            <w:r>
              <w:rPr>
                <w:rFonts w:cs="Calibri"/>
                <w:b w:val="0"/>
                <w:sz w:val="24"/>
                <w:szCs w:val="24"/>
              </w:rPr>
              <w:t xml:space="preserve">1: 113215 (IF 4.56)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Parvez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MK,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Dosari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Ahmed S, Rehman MT,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Rehaily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AJ, AlAjmi MF (2020).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Oncoglabrinol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C, a new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flavan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from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Oncocalyx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glabratus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protects endothelial cells against oxidative stress and apoptosis, and modulates hepatic CYP3A4 activi</w:t>
            </w:r>
            <w:r>
              <w:rPr>
                <w:rFonts w:cs="Calibri"/>
                <w:b w:val="0"/>
                <w:sz w:val="24"/>
                <w:szCs w:val="24"/>
              </w:rPr>
              <w:t xml:space="preserve">ty.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</w:t>
            </w:r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Pharmaceutical Journal.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28(6): 648-656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MIR, Jahan B, AlAjmi MF, Rehman MT, Khan NA (2020).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Ethephon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mitigates nickel stress by modulating antioxidant system, glyoxalase system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proline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metabolism in Indian mustard.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Physiology an</w:t>
            </w:r>
            <w:r>
              <w:rPr>
                <w:rFonts w:cs="Calibri"/>
                <w:b w:val="0"/>
                <w:i/>
                <w:sz w:val="24"/>
                <w:szCs w:val="24"/>
              </w:rPr>
              <w:t>d Molecular Biology of Plants.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26(6): 1201-1213 (IF 1.54)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Khan JM, Malik A, Rehman MT, AlAjmi MF, Husain FM, Ahmad A, Sen P (2020). Investigating the effect of food additive azo dye “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tartrazine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” on BLG fibrillation under in-vitro condition. A</w:t>
            </w:r>
            <w:r>
              <w:rPr>
                <w:rFonts w:cs="Calibri"/>
                <w:b w:val="0"/>
                <w:sz w:val="24"/>
                <w:szCs w:val="24"/>
              </w:rPr>
              <w:t xml:space="preserve"> biophysical and molecular docking study.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King Saud University – Science.</w:t>
            </w:r>
            <w:r>
              <w:rPr>
                <w:rFonts w:cs="Calibri"/>
                <w:b w:val="0"/>
                <w:sz w:val="24"/>
                <w:szCs w:val="24"/>
              </w:rPr>
              <w:t xml:space="preserve"> 32(3): 2034-2040 (IF 2.84)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Alanazi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AM, Khan AA,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Jabeen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Algrain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Baig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MH (2020). Biophysical interactions, docking studies and cytotoxic potential of a nov</w:t>
            </w:r>
            <w:r>
              <w:rPr>
                <w:rFonts w:cs="Calibri"/>
                <w:b w:val="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propofol-linolenate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: A multi-technique approach.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Journal of Biomolecular Structure and Dynamics. </w:t>
            </w:r>
            <w:r>
              <w:rPr>
                <w:rFonts w:cs="Calibri"/>
                <w:b w:val="0"/>
                <w:sz w:val="24"/>
                <w:szCs w:val="24"/>
              </w:rPr>
              <w:t>38(8): 2389-2401 (IF 3.11).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MS, Bhatt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Alokail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AlAjmi MF (2020).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Quinoline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yellow (Food additive) induced conformational cha</w:t>
            </w:r>
            <w:r>
              <w:rPr>
                <w:rFonts w:cs="Calibri"/>
                <w:b w:val="0"/>
                <w:sz w:val="24"/>
                <w:szCs w:val="24"/>
              </w:rPr>
              <w:t xml:space="preserve">nges in Lysozyme: A spectroscopic, docking and simulation studies of dye-protein interactions.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Preparative Biochemistry and Biotechnology. </w:t>
            </w:r>
            <w:r>
              <w:rPr>
                <w:rFonts w:cs="Calibri"/>
                <w:b w:val="0"/>
                <w:sz w:val="24"/>
                <w:szCs w:val="24"/>
              </w:rPr>
              <w:t>50(7):673-681 (IF 1.12)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Khan JM, Malik A, Rehman MT, AlAjmi MF, Husain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Hisamuddin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Altwaijry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 (2</w:t>
            </w:r>
            <w:r>
              <w:rPr>
                <w:rFonts w:cs="Calibri"/>
                <w:b w:val="0"/>
                <w:sz w:val="24"/>
                <w:szCs w:val="24"/>
              </w:rPr>
              <w:t xml:space="preserve">020). Molecular interaction of tea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catechin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with bovine β-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lactoglobulin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: a spectroscopic and in silico studies.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Pharmaceutical Journal</w:t>
            </w:r>
            <w:r>
              <w:rPr>
                <w:rFonts w:cs="Calibri"/>
                <w:b w:val="0"/>
                <w:sz w:val="24"/>
                <w:szCs w:val="24"/>
              </w:rPr>
              <w:t>. 28: 238-245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Husain FM,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Alyousef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Arshad M, Khan A, Khan JM,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Albalawi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TA,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Shahzad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SA, Syed JB, AlAjmi MF (2020). Food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color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‘Azorubine’ interferes with quorum sensing regulated functions and obliterates biofilm formed by food associated bacteria: An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 vitro</w:t>
            </w:r>
            <w:r>
              <w:rPr>
                <w:rFonts w:cs="Calibri"/>
                <w:b w:val="0"/>
                <w:sz w:val="24"/>
                <w:szCs w:val="24"/>
              </w:rPr>
              <w:t xml:space="preserve"> and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 silico</w:t>
            </w:r>
            <w:r>
              <w:rPr>
                <w:rFonts w:cs="Calibri"/>
                <w:b w:val="0"/>
                <w:sz w:val="24"/>
                <w:szCs w:val="24"/>
              </w:rPr>
              <w:t xml:space="preserve"> approach.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Journal of Biological Sciences</w:t>
            </w:r>
            <w:r>
              <w:rPr>
                <w:rFonts w:cs="Calibri"/>
                <w:b w:val="0"/>
                <w:sz w:val="24"/>
                <w:szCs w:val="24"/>
              </w:rPr>
              <w:t>. 27(4)</w:t>
            </w:r>
            <w:r>
              <w:rPr>
                <w:rFonts w:cs="Calibri"/>
                <w:b w:val="0"/>
                <w:sz w:val="24"/>
                <w:szCs w:val="24"/>
              </w:rPr>
              <w:t xml:space="preserve">: 1080-1090. (IF 2.82)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Alsaleem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Alwahaibi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IH, Rehman MT, 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Alkahtani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Abdelmageed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W (2020). Phenolic compounds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Heliotropium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europaenum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and their biological activities.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Pharmacognosy Magazine.</w:t>
            </w:r>
            <w:r>
              <w:rPr>
                <w:rFonts w:cs="Calibri"/>
                <w:b w:val="0"/>
                <w:sz w:val="24"/>
                <w:szCs w:val="24"/>
              </w:rPr>
              <w:t xml:space="preserve"> 16: S108-S116 (IF 1.53)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Hidaya</w:t>
            </w:r>
            <w:r>
              <w:rPr>
                <w:rFonts w:cs="Calibri"/>
                <w:b w:val="0"/>
                <w:sz w:val="24"/>
                <w:szCs w:val="24"/>
              </w:rPr>
              <w:t>thulla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ElGamal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AA,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Massarani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Razmovski-Naumovski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V,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ElDib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RA, AlAjmi MF (2020). Alpha-amylase and Alpha-glucosidase enzyme inhibition and antioxidant potential of 3-oxolupenal and katononic acid isolated from Nuxia opposit</w:t>
            </w:r>
            <w:r>
              <w:rPr>
                <w:rFonts w:cs="Calibri"/>
                <w:b w:val="0"/>
                <w:sz w:val="24"/>
                <w:szCs w:val="24"/>
              </w:rPr>
              <w:t xml:space="preserve">ifolia.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Biomolecules</w:t>
            </w:r>
            <w:r>
              <w:rPr>
                <w:rFonts w:cs="Calibri"/>
                <w:b w:val="0"/>
                <w:sz w:val="24"/>
                <w:szCs w:val="24"/>
              </w:rPr>
              <w:t>. 10 (1): 61 (IF 4.69)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Siddiqui NA,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Mohthana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RA, Al-Said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Parvez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MK,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Rehman MT, Ali M, AlAjmi MF,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Dosari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Rehaily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AJ, Nasr FA, Khalid JM (2020). Cell proliferation activity delineated by molecular docking of four new</w:t>
            </w:r>
            <w:r>
              <w:rPr>
                <w:rFonts w:cs="Calibri"/>
                <w:b w:val="0"/>
                <w:sz w:val="24"/>
                <w:szCs w:val="24"/>
              </w:rPr>
              <w:t xml:space="preserve"> compounds isolated from the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arial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parts of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Suaeda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monoica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Forssk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Ex. J. F.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Gmel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Pharmaceutical Journal</w:t>
            </w:r>
            <w:r>
              <w:rPr>
                <w:rFonts w:cs="Calibri"/>
                <w:b w:val="0"/>
                <w:sz w:val="24"/>
                <w:szCs w:val="24"/>
              </w:rPr>
              <w:t>. 28 (2020): 172-186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Jahan B, AlAjmi MF, Rehman MT, Khan NA (2020). Nitric oxide regulates photosynthetic performance and stomatal beha</w:t>
            </w:r>
            <w:r>
              <w:rPr>
                <w:rFonts w:cs="Calibri"/>
                <w:b w:val="0"/>
                <w:sz w:val="24"/>
                <w:szCs w:val="24"/>
              </w:rPr>
              <w:t xml:space="preserve">viour supplemented with nitrogen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sulfur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in mustard under salt stress.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Physiologica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plantarum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sz w:val="24"/>
                <w:szCs w:val="24"/>
              </w:rPr>
              <w:t>168 (2020): 490-510 (IF 3.66)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Habib 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Aneja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B, Irfan M, AlAjmi MF, Hasan P, Khan P, Rehman MT, Noman OM,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Azam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Abid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 (2020). Biofilm in</w:t>
            </w:r>
            <w:r>
              <w:rPr>
                <w:rFonts w:cs="Calibri"/>
                <w:b w:val="0"/>
                <w:sz w:val="24"/>
                <w:szCs w:val="24"/>
              </w:rPr>
              <w:t xml:space="preserve">hibition and DNA binding studies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isoxazole-triazole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conjugates in the development of effective anti-bacterial agents.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Molecular Structure</w:t>
            </w:r>
            <w:r>
              <w:rPr>
                <w:rFonts w:cs="Calibri"/>
                <w:b w:val="0"/>
                <w:sz w:val="24"/>
                <w:szCs w:val="24"/>
              </w:rPr>
              <w:t>. 1201: 127144 (IF 2.12).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AlAjmi MF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*#,</w:t>
            </w:r>
            <w:r>
              <w:rPr>
                <w:rFonts w:cs="Calibri"/>
                <w:b w:val="0"/>
                <w:sz w:val="24"/>
                <w:szCs w:val="24"/>
              </w:rPr>
              <w:t xml:space="preserve"> Khan RA, Khan MA,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Muteeb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G, Khan MS, Noman OMA,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Alsalme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Hussain A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*</w:t>
            </w:r>
            <w:r>
              <w:rPr>
                <w:rFonts w:cs="Calibri"/>
                <w:b w:val="0"/>
                <w:sz w:val="24"/>
                <w:szCs w:val="24"/>
              </w:rPr>
              <w:t xml:space="preserve"> (2020). Understanding the interaction between α-1-acid glycoprotein (AGP) and potential Cu/Zn metallo-drugs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benzimidazole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derived organic motifs: A multi-spectroscopic and molecular </w:t>
            </w:r>
            <w:r>
              <w:rPr>
                <w:rFonts w:cs="Calibri"/>
                <w:b w:val="0"/>
                <w:sz w:val="24"/>
                <w:szCs w:val="24"/>
              </w:rPr>
              <w:t xml:space="preserve">docking study.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Spectrochimica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Acta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Part A: Molecular and Biomolecular Spectroscopy</w:t>
            </w:r>
            <w:r>
              <w:rPr>
                <w:rFonts w:cs="Calibri"/>
                <w:b w:val="0"/>
                <w:sz w:val="24"/>
                <w:szCs w:val="24"/>
              </w:rPr>
              <w:t xml:space="preserve">. 225 (2020): 117457 (IF 2.88) (*Corresponding Author; 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Gupta P, Khan FI, Roy S, Anwar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Dahiya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AlAjmi MF, Hussain A, Rehman MT, Lai D, Hassan MI (2020).</w:t>
            </w:r>
            <w:r>
              <w:rPr>
                <w:rFonts w:cs="Calibri"/>
                <w:b w:val="0"/>
                <w:sz w:val="24"/>
                <w:szCs w:val="24"/>
              </w:rPr>
              <w:t xml:space="preserve"> Functional implications of pH-induced conformational changes in the sphingosine kinase 1.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Spectrochimica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Acta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Part A: Molecular and Biomolecular Spectroscopy</w:t>
            </w:r>
            <w:r>
              <w:rPr>
                <w:rFonts w:cs="Calibri"/>
                <w:b w:val="0"/>
                <w:sz w:val="24"/>
                <w:szCs w:val="24"/>
              </w:rPr>
              <w:t>. 225 (2020): 117453 (IF 2.88)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Fatima S, 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Jairajpuri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DS, Rehman MT, 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Samim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Ahmad FJ, AlAjmi MF, Hassan MI (2020). Identification and evaluation of glutathione conjugate 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gamma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-L-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glutamyl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-L-cysteine for improved drug-delivery to the brain.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Biomolecular S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tructure and Dynamics. </w:t>
            </w:r>
            <w:r>
              <w:rPr>
                <w:rFonts w:cs="Calibri"/>
                <w:b w:val="0"/>
                <w:sz w:val="24"/>
                <w:szCs w:val="24"/>
              </w:rPr>
              <w:t xml:space="preserve">38(12): 3610-3620 (IF 3.11) </w:t>
            </w:r>
          </w:p>
          <w:p w:rsidR="0012394F" w:rsidRDefault="00F9711B">
            <w:pPr>
              <w:spacing w:after="120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lastRenderedPageBreak/>
              <w:t>2019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Khan MIR, Jahan B, AlAjmi MF, Rehman MT, Khan NA (2019). Exogenously-sourced ethylene modulates defence mechanisms and promotes tolerance to Zinc stress in mustard (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Brassica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juncea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L.).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Plants</w:t>
            </w:r>
            <w:r>
              <w:rPr>
                <w:rFonts w:cs="Calibri"/>
                <w:b w:val="0"/>
                <w:sz w:val="24"/>
                <w:szCs w:val="24"/>
              </w:rPr>
              <w:t>. 8(12)</w:t>
            </w:r>
            <w:r>
              <w:rPr>
                <w:rFonts w:cs="Calibri"/>
                <w:b w:val="0"/>
                <w:sz w:val="24"/>
                <w:szCs w:val="24"/>
              </w:rPr>
              <w:t>: 540 (IF 2.63)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Mohammad T, Khan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Shahwan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Husain FM, Rehman MT, Hassan MI, Ahmad F, Islam A (2019). Unravelling binding mechanism of Alzheimer’s drug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Rivastigmine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tartrate with human transferrin: Molecular docking and multi-spectroscopic ap</w:t>
            </w:r>
            <w:r>
              <w:rPr>
                <w:rFonts w:cs="Calibri"/>
                <w:b w:val="0"/>
                <w:sz w:val="24"/>
                <w:szCs w:val="24"/>
              </w:rPr>
              <w:t xml:space="preserve">proach towards neurodegenerative diseases.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Biomolecules</w:t>
            </w:r>
            <w:r>
              <w:rPr>
                <w:rFonts w:cs="Calibri"/>
                <w:b w:val="0"/>
                <w:sz w:val="24"/>
                <w:szCs w:val="24"/>
              </w:rPr>
              <w:t xml:space="preserve">. 9(9): 495 (IF 4.69)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AA, Noman OM, Rehman MT, Siddiqui NA, AlAjmi MF, Nasr FA,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Shahat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 (2019). The influence of variations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Furanosesquiterpenoids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content of commercial samples </w:t>
            </w:r>
            <w:r>
              <w:rPr>
                <w:rFonts w:cs="Calibri"/>
                <w:b w:val="0"/>
                <w:sz w:val="24"/>
                <w:szCs w:val="24"/>
              </w:rPr>
              <w:t xml:space="preserve">of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Myrrh</w:t>
            </w:r>
            <w:r>
              <w:rPr>
                <w:rFonts w:cs="Calibri"/>
                <w:b w:val="0"/>
                <w:sz w:val="24"/>
                <w:szCs w:val="24"/>
              </w:rPr>
              <w:t xml:space="preserve"> on their biological properties.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Pharmaceutical Journal</w:t>
            </w:r>
            <w:r>
              <w:rPr>
                <w:rFonts w:cs="Calibri"/>
                <w:b w:val="0"/>
                <w:sz w:val="24"/>
                <w:szCs w:val="24"/>
              </w:rPr>
              <w:t>. 27(7): 981-989.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Gupta P, Mohammad T, Khan P, AlAjmi MF, Hussain A, Rehman MT, Hassam MI (2019). Evaluation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Ellagic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acid as an inhibitor of Sphingosine Kinase 1: a targeted </w:t>
            </w:r>
            <w:r>
              <w:rPr>
                <w:rFonts w:cs="Calibri"/>
                <w:b w:val="0"/>
                <w:sz w:val="24"/>
                <w:szCs w:val="24"/>
              </w:rPr>
              <w:t xml:space="preserve">approach towards anticancer therapy.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Biomedicine and Pharmacotherapy</w:t>
            </w:r>
            <w:r>
              <w:rPr>
                <w:rFonts w:cs="Calibri"/>
                <w:b w:val="0"/>
                <w:sz w:val="24"/>
                <w:szCs w:val="24"/>
              </w:rPr>
              <w:t>. 118 (2019): 109245 (IF 3.74).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Parvez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MK,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Dosari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Rehman MT, AlAjmi MF,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Qahtani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 (2019). The anti-hepatitis B virus therapeutic potential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antharquinones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derived from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Aloe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vera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Phytotherapy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Research.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2019: 1-11. (IF 3.77)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Oves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Rauf MA, 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Qari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HA, Khan AAP, Muhammad P, Rehman MT, AlAjmi MF, Ismail IMI (2019). Antibacterial silver nanomaterials synthesis from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Mesoflavibacter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zeaxanthinifaciens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and targeting biofilm formation.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Frontiers in Pharmacology</w:t>
            </w:r>
            <w:r>
              <w:rPr>
                <w:rFonts w:cs="Calibri"/>
                <w:b w:val="0"/>
                <w:sz w:val="24"/>
                <w:szCs w:val="24"/>
              </w:rPr>
              <w:t xml:space="preserve">. 10: 801 (IF 3.85).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Naqvi AAT, AlAjmi MF, Rehman MT, Hussain A, Hassan MI (2019). Effects of Pro1266Leu mutation on structure and function of glycoprotein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binding domain of von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Willebrand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factor.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Cellular Biochemistry</w:t>
            </w:r>
            <w:r>
              <w:rPr>
                <w:rFonts w:cs="Calibri"/>
                <w:b w:val="0"/>
                <w:sz w:val="24"/>
                <w:szCs w:val="24"/>
              </w:rPr>
              <w:t xml:space="preserve">. 120: 17847-17857. (IF 2.96)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Amir M, Ahmad </w:t>
            </w:r>
            <w:r>
              <w:rPr>
                <w:rFonts w:cs="Calibri"/>
                <w:b w:val="0"/>
                <w:sz w:val="24"/>
                <w:szCs w:val="24"/>
              </w:rPr>
              <w:t xml:space="preserve">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Ahamad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Kumar V, 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Dohare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AlAjmi MF, Rehman MT, Hussain A, Islam A, Ahmad F, Hassan I (2019). Impact of Gln94Glu mutation on the structure and function of protection of telomere 1, a cause of cutaneous familial melanoma.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Biomol</w:t>
            </w:r>
            <w:r>
              <w:rPr>
                <w:rFonts w:cs="Calibri"/>
                <w:b w:val="0"/>
                <w:i/>
                <w:sz w:val="24"/>
                <w:szCs w:val="24"/>
              </w:rPr>
              <w:t>ecular Structure and Dynamics.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38(5): 1514-1524. (IF 3.11)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Ahmed S,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Rehaily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AJ,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Alqahtani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Hidayatullah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Mothana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RA, Abbas SS, Khan MU, Khalid JM, Siddiqui NA (2019). Antidiabetic, antioxidant, molecular docking and HPTLC analys</w:t>
            </w:r>
            <w:r>
              <w:rPr>
                <w:rFonts w:cs="Calibri"/>
                <w:b w:val="0"/>
                <w:sz w:val="24"/>
                <w:szCs w:val="24"/>
              </w:rPr>
              <w:t xml:space="preserve">is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miquelianin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isolated from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Euphorbia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schimperi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Presl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Pharmaceutical Journal</w:t>
            </w:r>
            <w:r>
              <w:rPr>
                <w:rFonts w:cs="Calibri"/>
                <w:b w:val="0"/>
                <w:sz w:val="24"/>
                <w:szCs w:val="24"/>
              </w:rPr>
              <w:t>. 27 (2019): 655-663.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Amir M, Mohammad T, Kumar V, AlAjmi MF, Rehman MT, 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Dohare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Islam A, Ahmed F, Hassan MI (2019). Structural analysi</w:t>
            </w:r>
            <w:r>
              <w:rPr>
                <w:rFonts w:cs="Calibri"/>
                <w:b w:val="0"/>
                <w:sz w:val="24"/>
                <w:szCs w:val="24"/>
              </w:rPr>
              <w:t xml:space="preserve">s and conformational dynamics of STN1 gene mutations involved in coat plus syndrome.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Frontiers in Molecular Biosciences</w:t>
            </w:r>
            <w:r>
              <w:rPr>
                <w:rFonts w:cs="Calibri"/>
                <w:b w:val="0"/>
                <w:sz w:val="24"/>
                <w:szCs w:val="24"/>
              </w:rPr>
              <w:t>. 6: 41.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Rahman S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, Rabbani G, Khan P, AlAjmi MF, Hassan MI,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Muteeb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G, Kim J (2019). Insight of the interaction between 2,4-t</w:t>
            </w:r>
            <w:r>
              <w:rPr>
                <w:rFonts w:cs="Calibri"/>
                <w:b w:val="0"/>
                <w:sz w:val="24"/>
                <w:szCs w:val="24"/>
              </w:rPr>
              <w:t xml:space="preserve">hiazolidinedione and human serum albumin: A </w:t>
            </w:r>
            <w:r>
              <w:rPr>
                <w:rFonts w:cs="Calibri"/>
                <w:b w:val="0"/>
                <w:sz w:val="24"/>
                <w:szCs w:val="24"/>
              </w:rPr>
              <w:lastRenderedPageBreak/>
              <w:t xml:space="preserve">spectroscopic, thermodynamics and molecular docking study.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Journal of Molecular Sciences</w:t>
            </w:r>
            <w:r>
              <w:rPr>
                <w:rFonts w:cs="Calibri"/>
                <w:b w:val="0"/>
                <w:sz w:val="24"/>
                <w:szCs w:val="24"/>
              </w:rPr>
              <w:t>. 20(11):2727. (IF 3.69)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JM, Malik A, Rehman MT, 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Alamery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Alghamdi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OHA, </w:t>
            </w:r>
            <w:r>
              <w:rPr>
                <w:rFonts w:cs="Calibri"/>
                <w:b w:val="0"/>
                <w:sz w:val="24"/>
                <w:szCs w:val="24"/>
              </w:rPr>
              <w:t xml:space="preserve">Khan RH,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Odeibat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HAM, Fatima S (2019). Alpha-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cyclodextrin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turns SDS-induced amyloid fibril into native-like structure.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Molecular Liquids</w:t>
            </w:r>
            <w:r>
              <w:rPr>
                <w:rFonts w:cs="Calibri"/>
                <w:b w:val="0"/>
                <w:sz w:val="24"/>
                <w:szCs w:val="24"/>
              </w:rPr>
              <w:t>. 289: 111090. (IF 4.51)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Amir M, Kumar V, 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Dohare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Rehman MT, AlAjmi MF, Hussain A, Ahmad F, Hassan MI (2019). Structural and functional impact of non-synonymous SNPs in the CST complex subunit TEN1: structural genomics approach.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Biosciences Reports. </w:t>
            </w:r>
            <w:r>
              <w:rPr>
                <w:rFonts w:cs="Calibri"/>
                <w:b w:val="0"/>
                <w:sz w:val="24"/>
                <w:szCs w:val="24"/>
              </w:rPr>
              <w:t xml:space="preserve">39(5)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pii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: BSR201</w:t>
            </w:r>
            <w:r>
              <w:rPr>
                <w:rFonts w:cs="Calibri"/>
                <w:b w:val="0"/>
                <w:sz w:val="24"/>
                <w:szCs w:val="24"/>
              </w:rPr>
              <w:t>90312. (IF 2.89)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Oves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AlAjmi MF, Hussain I, Amir S, Ahmed J, Rehman MT, El-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Seedi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HR, Ali I (2019). Biogenesis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ZnO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nanoparticles using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Pandanus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odorifer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leaf extract: anticancer and antimicrobial activities.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RSC Advances</w:t>
            </w:r>
            <w:r>
              <w:rPr>
                <w:rFonts w:cs="Calibri"/>
                <w:b w:val="0"/>
                <w:sz w:val="24"/>
                <w:szCs w:val="24"/>
              </w:rPr>
              <w:t>. 9: 15357. (IF 2.94</w:t>
            </w:r>
            <w:r>
              <w:rPr>
                <w:rFonts w:cs="Calibri"/>
                <w:b w:val="0"/>
                <w:sz w:val="24"/>
                <w:szCs w:val="24"/>
              </w:rPr>
              <w:t>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JM, Malik A, Ahmed A, Rehman MT, AlAjmi MF, Khan RH, Fatima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Alamery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SF, Abdullah EM (2019). Effect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cetyltrimethylammonium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bromide (CTAB) on the conformation of a hen egg white lysozyme: a spectroscopic and molecular docking study.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Spectrochimi</w:t>
            </w:r>
            <w:r>
              <w:rPr>
                <w:rFonts w:cs="Calibri"/>
                <w:b w:val="0"/>
                <w:i/>
                <w:sz w:val="24"/>
                <w:szCs w:val="24"/>
              </w:rPr>
              <w:t>ca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Acta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Part A: Molecular and Biomolecular Spectroscopy</w:t>
            </w:r>
            <w:r>
              <w:rPr>
                <w:rFonts w:cs="Calibri"/>
                <w:b w:val="0"/>
                <w:sz w:val="24"/>
                <w:szCs w:val="24"/>
              </w:rPr>
              <w:t>. 219: 313-318. (IF 2.88)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Amir M, Kumar V,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Dohare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Rehman MT, Hussain A, AlAjmi MF, El-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Seedi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HR, Hassan HMA, Islam A, Ahmad F, Hassan MI (2019). Investigating architecture and structure-function rela</w:t>
            </w:r>
            <w:r>
              <w:rPr>
                <w:rFonts w:cs="Calibri"/>
                <w:b w:val="0"/>
                <w:sz w:val="24"/>
                <w:szCs w:val="24"/>
              </w:rPr>
              <w:t xml:space="preserve">tionships in cold shock DNA-binding domain family using structural genomics based approach.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Journal of Biological Macromolecules</w:t>
            </w:r>
            <w:r>
              <w:rPr>
                <w:rFonts w:cs="Calibri"/>
                <w:b w:val="0"/>
                <w:sz w:val="24"/>
                <w:szCs w:val="24"/>
              </w:rPr>
              <w:t>. 133: 484-494. (IF 3.91)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Dahiya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Naqvi AAT, Mohammad T, AlAjmi MF, Rehman MT, Hussain A, Hassan MI (2019).  Investigating the structural features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chromodomain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proteins in human genome and predictive impacts of their mutations in cancers.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Journal of Biological Ma</w:t>
            </w:r>
            <w:r>
              <w:rPr>
                <w:rFonts w:cs="Calibri"/>
                <w:b w:val="0"/>
                <w:i/>
                <w:sz w:val="24"/>
                <w:szCs w:val="24"/>
              </w:rPr>
              <w:t>cromolecules</w:t>
            </w:r>
            <w:r>
              <w:rPr>
                <w:rFonts w:cs="Calibri"/>
                <w:b w:val="0"/>
                <w:sz w:val="24"/>
                <w:szCs w:val="24"/>
              </w:rPr>
              <w:t>. 131: 1101-1116. (IF 3.91)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Hasan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Kumari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K, Devi SC,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Handa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J, Rehman MT, Ansari NA, Singh LR (2019).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Osmolytes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in vaccine production, flocculation and storage: a critical review.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Human vaccine &amp;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Immunotherapeutics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sz w:val="24"/>
                <w:szCs w:val="24"/>
                <w:highlight w:val="white"/>
              </w:rPr>
              <w:t>15(2):514-525. (IF 2.23)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Mateen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Shahzad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Naeem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Faizay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AF, Khan AQ, Khan MS, Husain FM,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Moin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 (2019). Anti-oxidant and anti-inflammatory effects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Cinnamaldehyde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and Eugenol on mononuclear cells of rheumatoid arthritis patients.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European Journal of Pharmacolog</w:t>
            </w:r>
            <w:r>
              <w:rPr>
                <w:rFonts w:cs="Calibri"/>
                <w:b w:val="0"/>
                <w:i/>
                <w:sz w:val="24"/>
                <w:szCs w:val="24"/>
              </w:rPr>
              <w:t>y.</w:t>
            </w:r>
            <w:r>
              <w:rPr>
                <w:rFonts w:cs="Calibri"/>
                <w:b w:val="0"/>
                <w:sz w:val="24"/>
                <w:szCs w:val="24"/>
              </w:rPr>
              <w:t xml:space="preserve"> 852, 14-24. (IF 3.04)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Hussain A, AlAjmi MF, Rehman MT, Amir S, Husain FM,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AlSalme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Siddiqui MA,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AlKhedhairy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AA, Khan RA (2019). Copper(II) complexes as potential anticancer and NSAIDs agents: in vitro and in vivo studies.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Scientific Reports</w:t>
            </w:r>
            <w:r>
              <w:rPr>
                <w:rFonts w:cs="Calibri"/>
                <w:b w:val="0"/>
                <w:sz w:val="24"/>
                <w:szCs w:val="24"/>
              </w:rPr>
              <w:t>. 9: 5237.</w:t>
            </w:r>
            <w:r>
              <w:rPr>
                <w:rFonts w:cs="Calibri"/>
                <w:b w:val="0"/>
                <w:sz w:val="24"/>
                <w:szCs w:val="24"/>
              </w:rPr>
              <w:t xml:space="preserve"> (IF 5.23)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Rehman MT*, AlAjmi MF, Hussain A, Rather GM, Khan MA (2019). High-throughput virtual screening and Molecular dynamics simulation identified ZINC84525623 a potential inhibitor of NDM-1</w:t>
            </w:r>
            <w:r>
              <w:rPr>
                <w:rFonts w:cs="Calibri"/>
                <w:b w:val="0"/>
                <w:i/>
                <w:sz w:val="24"/>
                <w:szCs w:val="24"/>
              </w:rPr>
              <w:t>. International Journal of Molecular Sciences</w:t>
            </w:r>
            <w:r>
              <w:rPr>
                <w:rFonts w:cs="Calibri"/>
                <w:b w:val="0"/>
                <w:sz w:val="24"/>
                <w:szCs w:val="24"/>
              </w:rPr>
              <w:t>. 20, 819. (*Corr</w:t>
            </w:r>
            <w:r>
              <w:rPr>
                <w:rFonts w:cs="Calibri"/>
                <w:b w:val="0"/>
                <w:sz w:val="24"/>
                <w:szCs w:val="24"/>
              </w:rPr>
              <w:t>esponding Author) (IF 3.69)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 xml:space="preserve">Khan MS, Rehman MT, Bhat SA,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Hussain A, Husain FM, 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Alamery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Sumbul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 (2019). Food additive dye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Quinoline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yellow) promotes unfolding and aggregation of Myoglobin: A spectroscopic and molecular docking ana</w:t>
            </w:r>
            <w:r>
              <w:rPr>
                <w:rFonts w:cs="Calibri"/>
                <w:b w:val="0"/>
                <w:sz w:val="24"/>
                <w:szCs w:val="24"/>
              </w:rPr>
              <w:t xml:space="preserve">lysis.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Spectrochimica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Acta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Part A: Molecular and Biomolecular Spectroscopy</w:t>
            </w:r>
            <w:r>
              <w:rPr>
                <w:rFonts w:cs="Calibri"/>
                <w:b w:val="0"/>
                <w:sz w:val="24"/>
                <w:szCs w:val="24"/>
              </w:rPr>
              <w:t>. 214: 216-226. (IF 2.88)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Naz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Tarique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Ahamad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AlAjmi MF, Hussain A,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Luqman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Hassan MI (2019). Hesperidin-CAMKIV interaction and its impact on cell proliferation </w:t>
            </w:r>
            <w:r>
              <w:rPr>
                <w:rFonts w:cs="Calibri"/>
                <w:b w:val="0"/>
                <w:sz w:val="24"/>
                <w:szCs w:val="24"/>
              </w:rPr>
              <w:t xml:space="preserve">and apoptosis in the human carcinoma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neuroblastoma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cells.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Cellular Biochemistry</w:t>
            </w:r>
            <w:r>
              <w:rPr>
                <w:rFonts w:cs="Calibri"/>
                <w:b w:val="0"/>
                <w:sz w:val="24"/>
                <w:szCs w:val="24"/>
              </w:rPr>
              <w:t xml:space="preserve">. 2019: 120(9): 15119-15130. (IF 2.96)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Parvez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MK,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Dosari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Alqasoumi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SA, AlAjmi MF (2019). Plant-derived antiviral drugs as novel hepatit</w:t>
            </w:r>
            <w:r>
              <w:rPr>
                <w:rFonts w:cs="Calibri"/>
                <w:b w:val="0"/>
                <w:sz w:val="24"/>
                <w:szCs w:val="24"/>
              </w:rPr>
              <w:t xml:space="preserve">is B virus inhibitors: cell culture and molecular docking study.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Pharmaceutical Journal.</w:t>
            </w:r>
            <w:r>
              <w:rPr>
                <w:rFonts w:cs="Calibri"/>
                <w:b w:val="0"/>
                <w:sz w:val="24"/>
                <w:szCs w:val="24"/>
              </w:rPr>
              <w:t xml:space="preserve"> 27: 389-400.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Hussain A, AlAjmi MF, Khan MA*, Pervez A, Ahmed F, Amir S, Husain FM, Khan 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Shaik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GK, Hassan I, Khan RA, Rehman MT* (2019). Biosynthesized Silver Nanoparticle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AgNP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) from Pandanus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odorifer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leaf extract exhibits Anti-Metastasis and Anti-Biofilm Potentials</w:t>
            </w:r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Frontiers in Microbiology</w:t>
            </w:r>
            <w:r>
              <w:rPr>
                <w:rFonts w:cs="Calibri"/>
                <w:b w:val="0"/>
                <w:sz w:val="24"/>
                <w:szCs w:val="24"/>
              </w:rPr>
              <w:t>. 10(8): 1-19. (*Corresponding Author). (IF 4.02)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Aneja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B, Khan NS, Khan P, Queen A, Hussain A, Rehman MT, AlAjmi MF, El-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Seedi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HR, Ali S, Hassan MI,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Abid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 (2019). Design and development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Isatin-triazole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hydrazones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as potential</w:t>
            </w:r>
            <w:r>
              <w:rPr>
                <w:rFonts w:cs="Calibri"/>
                <w:b w:val="0"/>
                <w:sz w:val="24"/>
                <w:szCs w:val="24"/>
              </w:rPr>
              <w:t xml:space="preserve"> inhibitors of microtubule affinity-regulating kinase 4 for the therapeutic management of cell proliferation and metastasis.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European Journal of Medicinal Chemistry</w:t>
            </w:r>
            <w:r>
              <w:rPr>
                <w:rFonts w:cs="Calibri"/>
                <w:b w:val="0"/>
                <w:sz w:val="24"/>
                <w:szCs w:val="24"/>
              </w:rPr>
              <w:t>.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>163: 840-852. (IF 4.82)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Amir M, Kumar V, Mohammad 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Dohare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R, Hussain A,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P, AlAjmi MF, Islam A, Ahmad F, Hassan MI (2019). Investigation of deleterious effects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nsSNPs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in the POT1 gene: a structural genomics‐based approach to understand the mechanism of cancer development.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Cellular Biochemistry</w:t>
            </w:r>
            <w:r>
              <w:rPr>
                <w:rFonts w:cs="Calibri"/>
                <w:b w:val="0"/>
                <w:sz w:val="24"/>
                <w:szCs w:val="24"/>
              </w:rPr>
              <w:t>. 120: 10281-10294. (</w:t>
            </w:r>
            <w:r>
              <w:rPr>
                <w:rFonts w:cs="Calibri"/>
                <w:b w:val="0"/>
                <w:sz w:val="24"/>
                <w:szCs w:val="24"/>
              </w:rPr>
              <w:t>IF 2.96)</w:t>
            </w:r>
          </w:p>
          <w:p w:rsidR="0012394F" w:rsidRDefault="00F9711B">
            <w:pPr>
              <w:spacing w:before="240" w:after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2018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1" w:lineRule="auto"/>
              <w:jc w:val="both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Masood MM, Irfan M, Khan P, AlAjmi MF, Hussain A, Jered Garrison,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Abid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M. (2018). 1,2,3-Triazole-quinazolin-4(3H)-one conjugates: evolution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ergosterol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inhibitor as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anticandidal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agent.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RSC Advances</w:t>
            </w:r>
            <w:r>
              <w:rPr>
                <w:rFonts w:cs="Calibri"/>
                <w:b w:val="0"/>
                <w:sz w:val="24"/>
                <w:szCs w:val="24"/>
              </w:rPr>
              <w:t>. 8: 39611. (IF 2.94)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Siddiqui N, AlAjmi MF,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Kalam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Alrehaily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AJ (2018). Development and Validation of UPLC-PDA method for concurrent analysis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Bergenin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Menisdaurin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in aerial parts of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Flueggea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virosa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Roxb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ex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Willd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.).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Saudi Pharmaceutical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Journal</w:t>
            </w:r>
            <w:r>
              <w:rPr>
                <w:rFonts w:cs="Calibri"/>
                <w:b w:val="0"/>
                <w:sz w:val="24"/>
                <w:szCs w:val="24"/>
              </w:rPr>
              <w:t>. 26: 970-976 (IF 3.64)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Husain FM, Ahmad I, Khan FI,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Baig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MH, Hussain A, Rehman MT, 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Lobb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K (2018). Seed extract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Psoralea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corylifolia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and its constituent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bakuchiol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impairs AHL based quorum sensing and biofilm formation in food and human pathogens.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Fronti</w:t>
            </w:r>
            <w:r>
              <w:rPr>
                <w:rFonts w:cs="Calibri"/>
                <w:b w:val="0"/>
                <w:i/>
                <w:sz w:val="24"/>
                <w:szCs w:val="24"/>
              </w:rPr>
              <w:t>ers in Cellular and Infection Microbiology.</w:t>
            </w:r>
            <w:r>
              <w:rPr>
                <w:rFonts w:cs="Calibri"/>
                <w:b w:val="0"/>
                <w:sz w:val="24"/>
                <w:szCs w:val="24"/>
              </w:rPr>
              <w:t xml:space="preserve"> 8: 351 (IF 3.52)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Khan MS, Bhat SA, Rehman MT, Hassan I,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AlAjmi MF, Hussain A, Husain FM,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Alhazza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IM (2018).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Rutin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attenuates negatively charged surfactant (SDS)-induced lysozyme aggregation/amyloid form</w:t>
            </w:r>
            <w:r>
              <w:rPr>
                <w:rFonts w:cs="Calibri"/>
                <w:b w:val="0"/>
                <w:sz w:val="24"/>
                <w:szCs w:val="24"/>
              </w:rPr>
              <w:t xml:space="preserve">ation and its cytotoxicity.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Journal of Biological Macromolecules</w:t>
            </w:r>
            <w:r>
              <w:rPr>
                <w:rFonts w:cs="Calibri"/>
                <w:b w:val="0"/>
                <w:sz w:val="24"/>
                <w:szCs w:val="24"/>
              </w:rPr>
              <w:t>. 120: 45-58. (IF 3.91)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lastRenderedPageBreak/>
              <w:t>AlShabib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Khan JM, Malik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AlSenaidy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MA, Rehman MT, 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AlSenaidy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AM, Husain FM, Khan RH (2018). Molecular insight into binding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behavior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of pol</w:t>
            </w:r>
            <w:r>
              <w:rPr>
                <w:rFonts w:cs="Calibri"/>
                <w:b w:val="0"/>
                <w:sz w:val="24"/>
                <w:szCs w:val="24"/>
              </w:rPr>
              <w:t>yphenol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rutin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) with beta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lactoglobulin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: spectroscopic and computational studies.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Molecular Liquids</w:t>
            </w:r>
            <w:r>
              <w:rPr>
                <w:rFonts w:cs="Calibri"/>
                <w:b w:val="0"/>
                <w:sz w:val="24"/>
                <w:szCs w:val="24"/>
              </w:rPr>
              <w:t>. 269: 511-520. (IF 4.51)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1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AlAjmi MF,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Rehman MT, Husain FM, Khan AA, Siddiqui NA, Hussain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Kalam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Parvez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MK (2018). Interspecies antic</w:t>
            </w:r>
            <w:r>
              <w:rPr>
                <w:rFonts w:cs="Calibri"/>
                <w:b w:val="0"/>
                <w:sz w:val="24"/>
                <w:szCs w:val="24"/>
              </w:rPr>
              <w:t xml:space="preserve">ancer and antimicrobial activities of genus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Solanum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and estimation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rutin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by validated UPLC-PDA method.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Evidence-Based Complementary and Alternative Medicine</w:t>
            </w:r>
            <w:r>
              <w:rPr>
                <w:rFonts w:cs="Calibri"/>
                <w:b w:val="0"/>
                <w:sz w:val="24"/>
                <w:szCs w:val="24"/>
              </w:rPr>
              <w:t>. 2018: 6040815: 1-13. (IF 2.06)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Bhat SA, Bhat WF,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Arif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Afsar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Sohail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Khan MS, Rehman MT,</w:t>
            </w:r>
            <w:r>
              <w:rPr>
                <w:rFonts w:cs="Calibri"/>
                <w:b w:val="0"/>
                <w:sz w:val="24"/>
                <w:szCs w:val="24"/>
              </w:rPr>
              <w:t xml:space="preserve"> Khan RA,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Bano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 (2018). Glycation induced conformational transitions in cystatin proceed to form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biotoxic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aggregates: A multidimensional analysis.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BBA - Proteins and Proteomics</w:t>
            </w:r>
            <w:r>
              <w:rPr>
                <w:rFonts w:cs="Calibri"/>
                <w:b w:val="0"/>
                <w:sz w:val="24"/>
                <w:szCs w:val="24"/>
              </w:rPr>
              <w:t>. 1866: 989-1000. (IF 2.61)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AlAjmi MF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MT*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, Hussain A, Rather GM (2018).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Pharmacoinformatics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approach for the identification of Polo-like kinase-1 inhibitors from natural sources as anti-cancer agents.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Journal of Biological Macromolecules</w:t>
            </w:r>
            <w:r>
              <w:rPr>
                <w:rFonts w:cs="Calibri"/>
                <w:b w:val="0"/>
                <w:sz w:val="24"/>
                <w:szCs w:val="24"/>
              </w:rPr>
              <w:t>. 116: 173-181.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 (*Correspon</w:t>
            </w:r>
            <w:r>
              <w:rPr>
                <w:rFonts w:cs="Calibri"/>
                <w:b w:val="0"/>
                <w:sz w:val="24"/>
                <w:szCs w:val="24"/>
              </w:rPr>
              <w:t>ding Author) (IF 3.91)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AlAjmi MF, Hussain A, Rehman MT, Khan AA,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Khan RA (2018). Design, synthesis, and biological evaluation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Benzimidazole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-derived biocompatible copper(II) and zinc(II) complexes as anticancer chemotherapeutics.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International Jo</w:t>
            </w:r>
            <w:r>
              <w:rPr>
                <w:rFonts w:cs="Calibri"/>
                <w:b w:val="0"/>
                <w:i/>
                <w:sz w:val="24"/>
                <w:szCs w:val="24"/>
              </w:rPr>
              <w:t>urnal of Molecular Sciences</w:t>
            </w:r>
            <w:r>
              <w:rPr>
                <w:rFonts w:cs="Calibri"/>
                <w:b w:val="0"/>
                <w:sz w:val="24"/>
                <w:szCs w:val="24"/>
              </w:rPr>
              <w:t>. 19: 1492. (IF 3.69)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Hussain A, AlAjmi MF, Rehman MT, Khan AA,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Khan RA (2018). Evaluation of transition metal complexes of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Benzimidazole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-derived scaffold as a promising anticancer chemotherapeutics.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Molecules</w:t>
            </w:r>
            <w:r>
              <w:rPr>
                <w:rFonts w:cs="Calibri"/>
                <w:b w:val="0"/>
                <w:sz w:val="24"/>
                <w:szCs w:val="24"/>
              </w:rPr>
              <w:t xml:space="preserve">. 23: 1232. </w:t>
            </w:r>
            <w:r>
              <w:rPr>
                <w:rFonts w:cs="Calibri"/>
                <w:b w:val="0"/>
                <w:sz w:val="24"/>
                <w:szCs w:val="24"/>
              </w:rPr>
              <w:t>(IF 3.10)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Rabbani N,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Tabrez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Islam B,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Alsenaidy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AM, AlAjmi MF, Khan RA,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Alsenaidy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MA, Khan MS (2018). Characterization of colchicine binding with normal and glycated albumin: In vitro and molecular docking analysis.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Biomolecular Structure and Dynamics</w:t>
            </w:r>
            <w:r>
              <w:rPr>
                <w:rFonts w:cs="Calibri"/>
                <w:b w:val="0"/>
                <w:sz w:val="24"/>
                <w:szCs w:val="24"/>
              </w:rPr>
              <w:t>. 36(13) 3453-3462. (IF 3.11)</w:t>
            </w:r>
          </w:p>
          <w:p w:rsidR="0012394F" w:rsidRDefault="00F9711B">
            <w:pPr>
              <w:spacing w:after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2017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Muteeb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G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MT*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Ali SZ,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Shahrani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AM, Kamal MA, Ashraf GM* (2017). Phage display technique: a novel medicinal approach to overcome antibiotic resistance by using pep</w:t>
            </w:r>
            <w:r>
              <w:rPr>
                <w:rFonts w:cs="Calibri"/>
                <w:b w:val="0"/>
                <w:sz w:val="24"/>
                <w:szCs w:val="24"/>
              </w:rPr>
              <w:t xml:space="preserve">tide-based inhibitors against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β</w:t>
            </w:r>
            <w:r>
              <w:rPr>
                <w:rFonts w:cs="Calibri"/>
                <w:b w:val="0"/>
                <w:sz w:val="24"/>
                <w:szCs w:val="24"/>
              </w:rPr>
              <w:t xml:space="preserve">-lactamases.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Current Drug Metabolism.</w:t>
            </w:r>
            <w:r>
              <w:rPr>
                <w:rFonts w:cs="Calibri"/>
                <w:b w:val="0"/>
                <w:sz w:val="24"/>
                <w:szCs w:val="24"/>
              </w:rPr>
              <w:t xml:space="preserve"> 18(2): 90-95.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 (*Corresponding Author) (IF 2.85)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Al-Yousef HM, Ahmed AF,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Laeeq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S, Khan RA,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Alsalme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AlAjmi MF, Khan MS, Husain FM (2017). Onion Peel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Ethylacetate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Fraction and Its Derived Constituent Quercetin 4'-O-β-D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Glucopyranoside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Attenuates Quorum Sensing Regulated Virulenc</w:t>
            </w:r>
            <w:r>
              <w:rPr>
                <w:rFonts w:cs="Calibri"/>
                <w:b w:val="0"/>
                <w:sz w:val="24"/>
                <w:szCs w:val="24"/>
              </w:rPr>
              <w:t xml:space="preserve">e and Biofilm Formation.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Frontiers in Microbiology</w:t>
            </w:r>
            <w:r>
              <w:rPr>
                <w:rFonts w:cs="Calibri"/>
                <w:b w:val="0"/>
                <w:sz w:val="24"/>
                <w:szCs w:val="24"/>
              </w:rPr>
              <w:t xml:space="preserve">. 8: 1675. (IF 4.02)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Khaki PS,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Feroz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Amin F, Rehman MT, Bhat WF,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Bano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 (2017). Structural and functional studies on a variant of cystatin purified from brain of Capra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hircus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Biomolecular St</w:t>
            </w:r>
            <w:r>
              <w:rPr>
                <w:rFonts w:cs="Calibri"/>
                <w:b w:val="0"/>
                <w:i/>
                <w:sz w:val="24"/>
                <w:szCs w:val="24"/>
              </w:rPr>
              <w:t>ructure and Dynamics.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35(8): 1693-1709. (IF 3.11)</w:t>
            </w:r>
          </w:p>
          <w:p w:rsidR="0012394F" w:rsidRDefault="00F9711B">
            <w:pPr>
              <w:spacing w:before="120" w:after="120" w:line="271" w:lineRule="auto"/>
              <w:ind w:left="1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2016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Shabib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NA, Husain FM, Ahmed F, Khan RA, Ahmed I,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Sharaeh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E, Khan MS, Hussain A, Rehman MT, Yusuf M, Hassan I, Khan JM, Ashraf GM,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Salme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AM, Al-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Ajmi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MF, Tarasov VV,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Aliev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G (2016). Biogenic syn</w:t>
            </w:r>
            <w:r>
              <w:rPr>
                <w:rFonts w:cs="Calibri"/>
                <w:b w:val="0"/>
                <w:sz w:val="24"/>
                <w:szCs w:val="24"/>
              </w:rPr>
              <w:t xml:space="preserve">thesis of Zinc oxide nanostructures from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Nigella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sativa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seed: Prospective role as food packaging material inhibiting broad-spectrum quorum sensing and biofilm.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Scientific Reports.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9(9): 844-850. (IF 5.23)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Rehman MT, Ahmed S, Khan AU (2016). Interaction of</w:t>
            </w:r>
            <w:r>
              <w:rPr>
                <w:rFonts w:cs="Calibri"/>
                <w:b w:val="0"/>
                <w:sz w:val="24"/>
                <w:szCs w:val="24"/>
              </w:rPr>
              <w:t xml:space="preserve"> Meropenem with ‘N’ and ‘B’ isoforms of Human Serum Albumin: 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 xml:space="preserve"> Spectroscopic and Molecular Docking Study.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Journal of Biomolecular Structure and Dynamics</w:t>
            </w:r>
            <w:r>
              <w:rPr>
                <w:rFonts w:cs="Calibri"/>
                <w:b w:val="0"/>
                <w:sz w:val="24"/>
                <w:szCs w:val="24"/>
              </w:rPr>
              <w:t>. 34(9): 1849-1864. (IF 3.11)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Khan AU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 (2016). Significance of Trp-93 in the structure and f</w:t>
            </w:r>
            <w:r>
              <w:rPr>
                <w:rFonts w:cs="Calibri"/>
                <w:b w:val="0"/>
                <w:sz w:val="24"/>
                <w:szCs w:val="24"/>
              </w:rPr>
              <w:t xml:space="preserve">unction of New Delhi metallo-β-lactamase-1 (NDM-1).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Antimicrobial Agents and Chemotherapy</w:t>
            </w:r>
            <w:r>
              <w:rPr>
                <w:rFonts w:cs="Calibri"/>
                <w:b w:val="0"/>
                <w:sz w:val="24"/>
                <w:szCs w:val="24"/>
              </w:rPr>
              <w:t>. 60(1): 356-360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 (IF 4.38)</w:t>
            </w:r>
          </w:p>
          <w:p w:rsidR="0012394F" w:rsidRDefault="00F9711B">
            <w:pPr>
              <w:spacing w:before="120" w:after="120" w:line="271" w:lineRule="auto"/>
              <w:ind w:left="1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2015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Alam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Sohail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A, Bhat S, 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Bano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 (2015). Non-enzymatic glycation of almond cystatin leads to conformation</w:t>
            </w:r>
            <w:r>
              <w:rPr>
                <w:rFonts w:cs="Calibri"/>
                <w:b w:val="0"/>
                <w:sz w:val="24"/>
                <w:szCs w:val="24"/>
              </w:rPr>
              <w:t xml:space="preserve">al changes and altered activity.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Protein and Peptide Letters</w:t>
            </w:r>
            <w:r>
              <w:rPr>
                <w:rFonts w:cs="Calibri"/>
                <w:b w:val="0"/>
                <w:sz w:val="24"/>
                <w:szCs w:val="24"/>
              </w:rPr>
              <w:t xml:space="preserve">. 22(5): 449-459 (IF 1.74)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Rehman MT, Khan AU (2015). Structural insight into binding mode of anti-bacterial/anti-cancer compounds on human serum albumin.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Current Pharmaceutical Design</w:t>
            </w:r>
            <w:r>
              <w:rPr>
                <w:rFonts w:cs="Calibri"/>
                <w:b w:val="0"/>
                <w:sz w:val="24"/>
                <w:szCs w:val="24"/>
              </w:rPr>
              <w:t>. 21(14): 1</w:t>
            </w:r>
            <w:r>
              <w:rPr>
                <w:rFonts w:cs="Calibri"/>
                <w:b w:val="0"/>
                <w:sz w:val="24"/>
                <w:szCs w:val="24"/>
              </w:rPr>
              <w:t>785-1799 (IF 3.29)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Rahman S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, Singh LR, Ahmad F, Dar TA (2015). Salt potentiates Methylamine Counteraction System against the Deleterious Effects of Urea on Protein Stability and Function.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PLoS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One</w:t>
            </w:r>
            <w:r>
              <w:rPr>
                <w:rFonts w:cs="Calibri"/>
                <w:b w:val="0"/>
                <w:sz w:val="24"/>
                <w:szCs w:val="24"/>
              </w:rPr>
              <w:t>. 10(3): e0119597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 (IF 3.73)</w:t>
            </w:r>
          </w:p>
          <w:p w:rsidR="0012394F" w:rsidRDefault="006149F2" w:rsidP="006149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690" w:hanging="45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r w:rsidR="00F9711B">
              <w:rPr>
                <w:rFonts w:cs="Calibri"/>
                <w:b w:val="0"/>
                <w:sz w:val="24"/>
                <w:szCs w:val="24"/>
              </w:rPr>
              <w:t xml:space="preserve">Rehman MT, Faheem M, Khan AU (2015). An Insight into the Biophysical Characterization of different States of </w:t>
            </w:r>
            <w:proofErr w:type="spellStart"/>
            <w:r w:rsidR="00F9711B">
              <w:rPr>
                <w:rFonts w:cs="Calibri"/>
                <w:b w:val="0"/>
                <w:sz w:val="24"/>
                <w:szCs w:val="24"/>
              </w:rPr>
              <w:t>Cefotaxime</w:t>
            </w:r>
            <w:proofErr w:type="spellEnd"/>
            <w:r w:rsidR="00F9711B"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F9711B">
              <w:rPr>
                <w:rFonts w:cs="Calibri"/>
                <w:b w:val="0"/>
                <w:sz w:val="24"/>
                <w:szCs w:val="24"/>
              </w:rPr>
              <w:t>Hydrolyzing</w:t>
            </w:r>
            <w:proofErr w:type="spellEnd"/>
            <w:r w:rsidR="00F9711B">
              <w:rPr>
                <w:rFonts w:cs="Calibri"/>
                <w:b w:val="0"/>
                <w:sz w:val="24"/>
                <w:szCs w:val="24"/>
              </w:rPr>
              <w:t xml:space="preserve"> β-Lactamase 15 (CTX-M-15).</w:t>
            </w:r>
            <w:r w:rsidR="00F9711B">
              <w:rPr>
                <w:rFonts w:cs="Calibri"/>
                <w:b w:val="0"/>
                <w:i/>
                <w:sz w:val="24"/>
                <w:szCs w:val="24"/>
              </w:rPr>
              <w:t xml:space="preserve"> Journal of Biomolecular Structure and Dynamics</w:t>
            </w:r>
            <w:r w:rsidR="00F9711B">
              <w:rPr>
                <w:rFonts w:cs="Calibri"/>
                <w:b w:val="0"/>
                <w:sz w:val="24"/>
                <w:szCs w:val="24"/>
              </w:rPr>
              <w:t>. 33(3): 625-638. (I</w:t>
            </w:r>
            <w:bookmarkStart w:id="1" w:name="_GoBack"/>
            <w:bookmarkEnd w:id="1"/>
            <w:r w:rsidR="00F9711B">
              <w:rPr>
                <w:rFonts w:cs="Calibri"/>
                <w:b w:val="0"/>
                <w:sz w:val="24"/>
                <w:szCs w:val="24"/>
              </w:rPr>
              <w:t>F 2.98)</w:t>
            </w:r>
          </w:p>
          <w:p w:rsidR="0012394F" w:rsidRDefault="00F9711B">
            <w:pPr>
              <w:spacing w:before="120" w:after="120" w:line="271" w:lineRule="auto"/>
              <w:ind w:left="1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2011-2014</w:t>
            </w:r>
          </w:p>
          <w:p w:rsidR="0012394F" w:rsidRDefault="00F9711B" w:rsidP="006149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870" w:hanging="63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</w:t>
            </w:r>
            <w:r>
              <w:rPr>
                <w:rFonts w:cs="Calibri"/>
                <w:b w:val="0"/>
                <w:sz w:val="24"/>
                <w:szCs w:val="24"/>
              </w:rPr>
              <w:t>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H, Khan AU (2014). Insight into the Binding of Imipenem to Human Serum Albumin by Spectroscopic and Computational Approaches.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Molecular Pharmaceutics</w:t>
            </w:r>
            <w:r>
              <w:rPr>
                <w:rFonts w:cs="Calibri"/>
                <w:b w:val="0"/>
                <w:sz w:val="24"/>
                <w:szCs w:val="24"/>
              </w:rPr>
              <w:t>. 11: 1785-1797. (IF 4.78)</w:t>
            </w:r>
          </w:p>
          <w:p w:rsidR="0012394F" w:rsidRDefault="00F9711B" w:rsidP="006149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96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Faheem M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, Rehman MT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Danishuddin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M, Khan AU (2013). Biochemical characterization of CTX-M-15 from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Enterobacter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cloacae</w:t>
            </w:r>
            <w:r>
              <w:rPr>
                <w:rFonts w:cs="Calibri"/>
                <w:b w:val="0"/>
                <w:sz w:val="24"/>
                <w:szCs w:val="24"/>
              </w:rPr>
              <w:t xml:space="preserve"> and designing a novel non-β-lactam based β-lactamase inhibitor.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PLoS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One</w:t>
            </w:r>
            <w:r>
              <w:rPr>
                <w:rFonts w:cs="Calibri"/>
                <w:b w:val="0"/>
                <w:sz w:val="24"/>
                <w:szCs w:val="24"/>
              </w:rPr>
              <w:t>.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>8(2): e56926.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>Co-first author) (IF 3.73)</w:t>
            </w:r>
          </w:p>
          <w:p w:rsidR="0012394F" w:rsidRDefault="00F9711B" w:rsidP="006149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870" w:hanging="61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Rehman MT, Faheem M, Khan AU (2013). I</w:t>
            </w:r>
            <w:r>
              <w:rPr>
                <w:rFonts w:cs="Calibri"/>
                <w:b w:val="0"/>
                <w:sz w:val="24"/>
                <w:szCs w:val="24"/>
              </w:rPr>
              <w:t xml:space="preserve">nsignificant β-Lactamase Activity of Human Serum Albumin Against β-lactam Antibiotics: No Panic to Non-Microbial Drug Resistance.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Letters in Applied Microbiology</w:t>
            </w:r>
            <w:r>
              <w:rPr>
                <w:rFonts w:cs="Calibri"/>
                <w:b w:val="0"/>
                <w:sz w:val="24"/>
                <w:szCs w:val="24"/>
              </w:rPr>
              <w:t xml:space="preserve">. 57: 325–329. (IF 1.67) </w:t>
            </w:r>
          </w:p>
          <w:p w:rsidR="0012394F" w:rsidRDefault="00F9711B" w:rsidP="006149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870" w:hanging="61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Dey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, Hassan MI, Ahmad F,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Batra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JK (2011). Functional R</w:t>
            </w:r>
            <w:r>
              <w:rPr>
                <w:rFonts w:cs="Calibri"/>
                <w:b w:val="0"/>
                <w:sz w:val="24"/>
                <w:szCs w:val="24"/>
              </w:rPr>
              <w:t xml:space="preserve">ole of Glutamine 28 and Arginine 39 in Double Stranded RNA Cleavage by Human Pancreatic Ribonuclease.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PLoS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One</w:t>
            </w:r>
            <w:r>
              <w:rPr>
                <w:rFonts w:cs="Calibri"/>
                <w:b w:val="0"/>
                <w:sz w:val="24"/>
                <w:szCs w:val="24"/>
              </w:rPr>
              <w:t>. 6(3): e17159. (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#</w:t>
            </w:r>
            <w:r>
              <w:rPr>
                <w:rFonts w:cs="Calibri"/>
                <w:b w:val="0"/>
                <w:sz w:val="24"/>
                <w:szCs w:val="24"/>
              </w:rPr>
              <w:t xml:space="preserve">Co-first author) (IF 4.53). </w:t>
            </w:r>
          </w:p>
          <w:p w:rsidR="0012394F" w:rsidRDefault="00F9711B">
            <w:pPr>
              <w:spacing w:before="120" w:line="271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Conference proceedings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1" w:lineRule="auto"/>
              <w:ind w:hanging="46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 xml:space="preserve">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Sarfraz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 and Khan AU (2015). Characterizing the Meropenem and Human Serum Albumin Interaction by Spectroscopic and Computational Approaches.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Protein and Proteomics.</w:t>
            </w:r>
            <w:r>
              <w:rPr>
                <w:rFonts w:cs="Calibri"/>
                <w:b w:val="0"/>
                <w:sz w:val="24"/>
                <w:szCs w:val="24"/>
              </w:rPr>
              <w:t xml:space="preserve"> 6(1): 130.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1" w:lineRule="auto"/>
              <w:ind w:right="-81" w:hanging="46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Rehman MT,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 and Khan AU (2013). Mapping the Bind</w:t>
            </w:r>
            <w:r>
              <w:rPr>
                <w:rFonts w:cs="Calibri"/>
                <w:b w:val="0"/>
                <w:sz w:val="24"/>
                <w:szCs w:val="24"/>
              </w:rPr>
              <w:t xml:space="preserve">ing Site of Imipenem on Human Serum Albumin: A spectroscopic and Molecular Docking Study.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Protein and Proteomics</w:t>
            </w:r>
            <w:r>
              <w:rPr>
                <w:rFonts w:cs="Calibri"/>
                <w:b w:val="0"/>
                <w:sz w:val="24"/>
                <w:szCs w:val="24"/>
              </w:rPr>
              <w:t xml:space="preserve">. 4(2): 19. </w:t>
            </w:r>
          </w:p>
          <w:p w:rsidR="0012394F" w:rsidRDefault="00F97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hanging="46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Rehman MT, Rahman S and Ahmad F (2011). Role of Salt in Urea-Methylamine Compensation on Protein Stability and Function.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Journal of Natural Science, Biology and Medicine</w:t>
            </w:r>
            <w:r>
              <w:rPr>
                <w:rFonts w:cs="Calibri"/>
                <w:b w:val="0"/>
                <w:sz w:val="24"/>
                <w:szCs w:val="24"/>
              </w:rPr>
              <w:t xml:space="preserve">. 2(3), 148. 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RESEARCH INTERESTS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numPr>
                <w:ilvl w:val="0"/>
                <w:numId w:val="4"/>
              </w:numPr>
              <w:spacing w:before="120" w:line="276" w:lineRule="auto"/>
              <w:ind w:left="425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Antibiotic resistance: screening and validation of candidate drug molecules.</w:t>
            </w:r>
          </w:p>
          <w:p w:rsidR="0012394F" w:rsidRDefault="00F9711B">
            <w:pPr>
              <w:numPr>
                <w:ilvl w:val="0"/>
                <w:numId w:val="4"/>
              </w:numPr>
              <w:spacing w:line="276" w:lineRule="auto"/>
              <w:ind w:left="425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Studying the structure and function relationship of proteins: generating mutant proteins, their biochemical and biophysical characterization and the effect of mutation on its func</w:t>
            </w:r>
            <w:r>
              <w:rPr>
                <w:rFonts w:cs="Calibri"/>
                <w:b w:val="0"/>
                <w:sz w:val="24"/>
                <w:szCs w:val="24"/>
              </w:rPr>
              <w:t>tion.</w:t>
            </w:r>
          </w:p>
          <w:p w:rsidR="0012394F" w:rsidRDefault="00F9711B">
            <w:pPr>
              <w:numPr>
                <w:ilvl w:val="0"/>
                <w:numId w:val="4"/>
              </w:numPr>
              <w:spacing w:line="276" w:lineRule="auto"/>
              <w:ind w:left="425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Homology modelling and molecular docking studies to map the binding site of a drug/ligand on protein/DNA.</w:t>
            </w:r>
          </w:p>
          <w:p w:rsidR="0012394F" w:rsidRDefault="00F9711B">
            <w:pPr>
              <w:numPr>
                <w:ilvl w:val="0"/>
                <w:numId w:val="4"/>
              </w:numPr>
              <w:spacing w:line="276" w:lineRule="auto"/>
              <w:ind w:left="425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Studying protein-protein/ligand and DNA-protein/ligand interactions by spectroscopic and thermodynamic approaches.</w:t>
            </w:r>
          </w:p>
          <w:p w:rsidR="0012394F" w:rsidRDefault="00F9711B">
            <w:pPr>
              <w:numPr>
                <w:ilvl w:val="0"/>
                <w:numId w:val="4"/>
              </w:numPr>
              <w:spacing w:after="240" w:line="276" w:lineRule="auto"/>
              <w:ind w:left="425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Studying the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folding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↔</w:t>
            </w:r>
            <w:r>
              <w:rPr>
                <w:rFonts w:cs="Calibri"/>
                <w:b w:val="0"/>
                <w:sz w:val="24"/>
                <w:szCs w:val="24"/>
              </w:rPr>
              <w:t>unfoldin</w:t>
            </w:r>
            <w:r>
              <w:rPr>
                <w:rFonts w:cs="Calibri"/>
                <w:b w:val="0"/>
                <w:sz w:val="24"/>
                <w:szCs w:val="24"/>
              </w:rPr>
              <w:t>g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pathway of proteins and characterizing the intermediate state(s).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pStyle w:val="Heading4"/>
              <w:spacing w:before="120" w:after="120"/>
              <w:jc w:val="both"/>
              <w:outlineLvl w:val="3"/>
              <w:rPr>
                <w:rFonts w:ascii="Calibri" w:eastAsia="Calibri" w:hAnsi="Calibri" w:cs="Calibri"/>
                <w:i w:val="0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 w:val="0"/>
                <w:color w:val="000000"/>
                <w:sz w:val="24"/>
                <w:szCs w:val="24"/>
              </w:rPr>
              <w:t>SKILLS &amp; TECHNIQUES LEARNED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numPr>
                <w:ilvl w:val="0"/>
                <w:numId w:val="5"/>
              </w:numPr>
              <w:spacing w:before="120"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Instruments</w:t>
            </w:r>
            <w:r>
              <w:rPr>
                <w:rFonts w:cs="Calibri"/>
                <w:b w:val="0"/>
                <w:sz w:val="24"/>
                <w:szCs w:val="24"/>
              </w:rPr>
              <w:t>: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 xml:space="preserve">HPLC-Mass Spectroscopy, GC-Mass Spectroscopy, UV-Visible Spectroscopy, Fluorescence Spectroscopy, Circular Dichroism, Dynamic Light Scattering, Isothermal Calorimetry, FTIR, ELISA reader,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Lyophilizer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Sonicator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Centrifuges,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Molecular Biology</w:t>
            </w:r>
            <w:r>
              <w:rPr>
                <w:rFonts w:cs="Calibri"/>
                <w:b w:val="0"/>
                <w:sz w:val="24"/>
                <w:szCs w:val="24"/>
              </w:rPr>
              <w:t>: Genomic/Plasmid DNA isolation, DNA Estimations, Primer designing, PCR, Gene Cloning and Expression, Site-directed mutagenesis, Agarose gel electrophoresis, restriction digestion, sequencing PCR and DNA sequence analysis,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Biochemistry</w:t>
            </w:r>
            <w:r>
              <w:rPr>
                <w:rFonts w:cs="Calibri"/>
                <w:b w:val="0"/>
                <w:sz w:val="24"/>
                <w:szCs w:val="24"/>
              </w:rPr>
              <w:t>: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>Enzyme kinetic</w:t>
            </w:r>
            <w:r>
              <w:rPr>
                <w:rFonts w:cs="Calibri"/>
                <w:b w:val="0"/>
                <w:sz w:val="24"/>
                <w:szCs w:val="24"/>
              </w:rPr>
              <w:t>, Enzyme inhibition, IC</w:t>
            </w:r>
            <w:r>
              <w:rPr>
                <w:rFonts w:cs="Calibri"/>
                <w:b w:val="0"/>
                <w:sz w:val="24"/>
                <w:szCs w:val="24"/>
                <w:vertAlign w:val="subscript"/>
              </w:rPr>
              <w:t>50</w:t>
            </w:r>
            <w:r>
              <w:rPr>
                <w:rFonts w:cs="Calibri"/>
                <w:b w:val="0"/>
                <w:sz w:val="24"/>
                <w:szCs w:val="24"/>
              </w:rPr>
              <w:t xml:space="preserve"> value determination, Biochemical assays, Structure-function analysis, Protein/DNA and drug/ligand interaction using fluorescence, Isothermal Titration Calorimetry (ITC),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Biophysics</w:t>
            </w:r>
            <w:r>
              <w:rPr>
                <w:rFonts w:cs="Calibri"/>
                <w:b w:val="0"/>
                <w:sz w:val="24"/>
                <w:szCs w:val="24"/>
              </w:rPr>
              <w:t>: Protein stability, Chemical and Thermal den</w:t>
            </w:r>
            <w:r>
              <w:rPr>
                <w:rFonts w:cs="Calibri"/>
                <w:b w:val="0"/>
                <w:sz w:val="24"/>
                <w:szCs w:val="24"/>
              </w:rPr>
              <w:t>aturation of proteins, Characterization of different intermediate states of protein (Molten Globules), folding-unfolding pathway,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Cell Culture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: </w:t>
            </w:r>
            <w:r>
              <w:rPr>
                <w:rFonts w:cs="Calibri"/>
                <w:b w:val="0"/>
                <w:sz w:val="24"/>
                <w:szCs w:val="24"/>
              </w:rPr>
              <w:t>Maintenance of cell lines, Cryopreservation, Transfection and Transduction, Cell cytotoxicity determination</w:t>
            </w:r>
            <w:r>
              <w:rPr>
                <w:rFonts w:cs="Calibri"/>
                <w:b w:val="0"/>
                <w:sz w:val="24"/>
                <w:szCs w:val="24"/>
              </w:rPr>
              <w:t>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Immunology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: </w:t>
            </w:r>
            <w:r>
              <w:rPr>
                <w:rFonts w:cs="Calibri"/>
                <w:b w:val="0"/>
                <w:sz w:val="24"/>
                <w:szCs w:val="24"/>
              </w:rPr>
              <w:t>ELISA, Binding assays, Pull down assays, Western blotting,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Protein Sciences</w:t>
            </w:r>
            <w:r>
              <w:rPr>
                <w:rFonts w:cs="Calibri"/>
                <w:b w:val="0"/>
                <w:sz w:val="24"/>
                <w:szCs w:val="24"/>
              </w:rPr>
              <w:t>: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>Heterologous expression of recombinant proteins, Isolation and Purification of Proteins, Protein purification from inclusion bodies, PAGE-SDS &amp; Native, Ion</w:t>
            </w:r>
            <w:r>
              <w:rPr>
                <w:rFonts w:cs="Calibri"/>
                <w:b w:val="0"/>
                <w:sz w:val="24"/>
                <w:szCs w:val="24"/>
              </w:rPr>
              <w:t>-exchange chromatography, Affinity chromatography, Gel filtration chromatography, FPLC, etc.</w:t>
            </w:r>
          </w:p>
          <w:p w:rsidR="0012394F" w:rsidRDefault="00F9711B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Microbiology</w:t>
            </w:r>
            <w:r>
              <w:rPr>
                <w:rFonts w:cs="Calibri"/>
                <w:b w:val="0"/>
                <w:sz w:val="24"/>
                <w:szCs w:val="24"/>
              </w:rPr>
              <w:t>: Maintenance of microbiological strains, Growth curves, Antibiotic resistance, MIC and MBC determination, Disc-diffusion assay, Formulation of plant e</w:t>
            </w:r>
            <w:r>
              <w:rPr>
                <w:rFonts w:cs="Calibri"/>
                <w:b w:val="0"/>
                <w:sz w:val="24"/>
                <w:szCs w:val="24"/>
              </w:rPr>
              <w:t>xtract, etc.</w:t>
            </w:r>
          </w:p>
          <w:p w:rsidR="0012394F" w:rsidRDefault="00F9711B">
            <w:pPr>
              <w:numPr>
                <w:ilvl w:val="0"/>
                <w:numId w:val="5"/>
              </w:numPr>
              <w:spacing w:after="240"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lastRenderedPageBreak/>
              <w:t>Bioinformatics and Computer knowledge</w:t>
            </w:r>
            <w:r>
              <w:rPr>
                <w:rFonts w:cs="Calibri"/>
                <w:b w:val="0"/>
                <w:sz w:val="24"/>
                <w:szCs w:val="24"/>
              </w:rPr>
              <w:t>: Structure analysis tools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spdbv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PyMol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, CCP4 suite, Discovery studio), Schrodinger suite, Homology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modeling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Molecular docking (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Autodock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, Hex),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In-silico</w:t>
            </w:r>
            <w:r>
              <w:rPr>
                <w:rFonts w:cs="Calibri"/>
                <w:b w:val="0"/>
                <w:sz w:val="24"/>
                <w:szCs w:val="24"/>
              </w:rPr>
              <w:t xml:space="preserve"> inhibitor screening, MS-Office, Sigma plot, Origin</w:t>
            </w:r>
            <w:r>
              <w:rPr>
                <w:rFonts w:cs="Calibri"/>
                <w:b w:val="0"/>
                <w:sz w:val="24"/>
                <w:szCs w:val="24"/>
              </w:rPr>
              <w:t>, Statistical analysis of data and Internet.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SYMPOSIA/WORKSHOP ATTENDED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Workshop:</w:t>
            </w:r>
          </w:p>
          <w:p w:rsidR="0012394F" w:rsidRDefault="00F9711B">
            <w:pPr>
              <w:spacing w:before="120"/>
              <w:ind w:left="690" w:hanging="69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2016  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Agilent LC-MS/MS training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organised by Gulf Bio Analytical, held at Dubai-28832, United Arab Emirates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2016   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Molecular Biology Concepts and Applications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organised by Obesity Research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Center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held at King Saud University, Riyadh-11451, Saudi Arabia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b w:val="0"/>
                <w:sz w:val="24"/>
                <w:szCs w:val="24"/>
              </w:rPr>
              <w:t xml:space="preserve">2015 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Learn</w:t>
            </w:r>
            <w:proofErr w:type="gram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to effectively communicate your research: Science and communication</w:t>
            </w:r>
            <w:r>
              <w:rPr>
                <w:rFonts w:cs="Calibri"/>
                <w:b w:val="0"/>
                <w:sz w:val="24"/>
                <w:szCs w:val="24"/>
              </w:rPr>
              <w:t xml:space="preserve"> workshop organised by the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Wellcome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Trust/DBT India Alliance, held at Aligarh Mus</w:t>
            </w:r>
            <w:r>
              <w:rPr>
                <w:rFonts w:cs="Calibri"/>
                <w:b w:val="0"/>
                <w:sz w:val="24"/>
                <w:szCs w:val="24"/>
              </w:rPr>
              <w:t>lim University, Aligarh-202002,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2014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b w:val="0"/>
                <w:i/>
                <w:sz w:val="24"/>
                <w:szCs w:val="24"/>
              </w:rPr>
              <w:t>ASM’s Culture of Responsibility: Train the Trainer workshop</w:t>
            </w:r>
            <w:r>
              <w:rPr>
                <w:rFonts w:cs="Calibri"/>
                <w:b w:val="0"/>
                <w:sz w:val="24"/>
                <w:szCs w:val="24"/>
              </w:rPr>
              <w:t xml:space="preserve"> on Biosafety organized by American Society for Microbiology, held at Jawaharlal Nehru University, New Delhi-110067, India.</w:t>
            </w:r>
          </w:p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Oral Presentation:</w:t>
            </w:r>
          </w:p>
          <w:p w:rsidR="0012394F" w:rsidRDefault="00F9711B">
            <w:pPr>
              <w:spacing w:before="120" w:after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2013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Rehma</w:t>
            </w:r>
            <w:r>
              <w:rPr>
                <w:rFonts w:cs="Calibri"/>
                <w:sz w:val="24"/>
                <w:szCs w:val="24"/>
              </w:rPr>
              <w:t>n MT</w:t>
            </w:r>
            <w:r>
              <w:rPr>
                <w:rFonts w:cs="Calibri"/>
                <w:b w:val="0"/>
                <w:sz w:val="24"/>
                <w:szCs w:val="24"/>
              </w:rPr>
              <w:t xml:space="preserve">, Faheem M,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Danishuddin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 and Khan AU. Characterization of non-β-lactam based β-lactamase inhibitor of CTX-M-15 type extended spectrum β-lactamase. In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“Third Annual Meeting of the Indian Academy of Biomedical Sciences &amp; Symposium on Modern Trends in Hu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man Diseases”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organised by Department of Biochemistry, Faculty of Medicine, Aligarh Muslim University, Aligarh, UP- 202002, India.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Poster Presentation: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b w:val="0"/>
                <w:sz w:val="24"/>
                <w:szCs w:val="24"/>
              </w:rPr>
              <w:t>2015  Huda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 xml:space="preserve"> S, Ali SZ,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AlShahrani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AM and </w:t>
            </w:r>
            <w:r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</w:rPr>
              <w:t xml:space="preserve">. Quercetin is a potential inhibitor of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Mycobacterium tuberculosis</w:t>
            </w:r>
            <w:r>
              <w:rPr>
                <w:rFonts w:cs="Calibri"/>
                <w:b w:val="0"/>
                <w:sz w:val="24"/>
                <w:szCs w:val="24"/>
              </w:rPr>
              <w:t xml:space="preserve"> Ag85B protein: A computational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modeling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and docking study. In “2</w:t>
            </w:r>
            <w:r>
              <w:rPr>
                <w:rFonts w:cs="Calibri"/>
                <w:b w:val="0"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b w:val="0"/>
                <w:sz w:val="24"/>
                <w:szCs w:val="24"/>
              </w:rPr>
              <w:t xml:space="preserve"> International Conference on New Frontiers in Industrial and Applied Biotechnology (GenoPro2015)” organized by Department of Biotechnology,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Invertis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University, Ba</w:t>
            </w:r>
            <w:r>
              <w:rPr>
                <w:rFonts w:cs="Calibri"/>
                <w:b w:val="0"/>
                <w:sz w:val="24"/>
                <w:szCs w:val="24"/>
              </w:rPr>
              <w:t>reilly, Uttar Pradesh-243123,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2015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</w:rPr>
              <w:t>, Ahmed S and Khan AU. Characterizing the meropenem and human serum albumin interaction by spectroscopic and computational approaches. In “</w:t>
            </w:r>
            <w:r>
              <w:rPr>
                <w:rFonts w:cs="Calibri"/>
                <w:b w:val="0"/>
                <w:i/>
                <w:sz w:val="24"/>
                <w:szCs w:val="24"/>
              </w:rPr>
              <w:t>National Symposium on Biophysics &amp; Golden Jubilee Meeting of Indian Biophysical Society</w:t>
            </w:r>
            <w:r>
              <w:rPr>
                <w:rFonts w:cs="Calibri"/>
                <w:b w:val="0"/>
                <w:sz w:val="24"/>
                <w:szCs w:val="24"/>
              </w:rPr>
              <w:t xml:space="preserve">” organised by Centre for Interdisciplinary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(Central University), New Delhi-110025,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2015</w:t>
            </w:r>
            <w:r>
              <w:rPr>
                <w:rFonts w:cs="Calibri"/>
                <w:b w:val="0"/>
                <w:sz w:val="24"/>
                <w:szCs w:val="24"/>
              </w:rPr>
              <w:tab/>
              <w:t xml:space="preserve">Fatima N, Hasan W, </w:t>
            </w:r>
            <w:r>
              <w:rPr>
                <w:rFonts w:cs="Calibri"/>
                <w:sz w:val="24"/>
                <w:szCs w:val="24"/>
              </w:rPr>
              <w:t>Rehma</w:t>
            </w:r>
            <w:r>
              <w:rPr>
                <w:rFonts w:cs="Calibri"/>
                <w:sz w:val="24"/>
                <w:szCs w:val="24"/>
              </w:rPr>
              <w:t>n MT</w:t>
            </w:r>
            <w:r>
              <w:rPr>
                <w:rFonts w:cs="Calibri"/>
                <w:b w:val="0"/>
                <w:sz w:val="24"/>
                <w:szCs w:val="24"/>
              </w:rPr>
              <w:t xml:space="preserve">, Mahdi AA and Islam N.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Allicin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mediated inhibition of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Mycobacterium tuberculosis</w:t>
            </w:r>
            <w:r>
              <w:rPr>
                <w:rFonts w:cs="Calibri"/>
                <w:b w:val="0"/>
                <w:sz w:val="24"/>
                <w:szCs w:val="24"/>
              </w:rPr>
              <w:t xml:space="preserve"> MTB 85B protein: 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an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In silico</w:t>
            </w:r>
            <w:r>
              <w:rPr>
                <w:rFonts w:cs="Calibri"/>
                <w:b w:val="0"/>
                <w:sz w:val="24"/>
                <w:szCs w:val="24"/>
              </w:rPr>
              <w:t xml:space="preserve"> approach to map the binding sites. In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“International Conference on Recent Advances in Research and Treatment of Human Diseases &amp; 4</w:t>
            </w:r>
            <w:r>
              <w:rPr>
                <w:rFonts w:cs="Calibri"/>
                <w:b w:val="0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Annual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meeting of Indian Academy of Biomedical Sciences”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organised by Department of Clinical Pharmacology and Therapeutics,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Nizam’s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Institute of Medical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Punjagutta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Hyderabad, Andhra Pradesh-500082,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2014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</w:rPr>
              <w:t>, Faheem M and Khan AU. Structura</w:t>
            </w:r>
            <w:r>
              <w:rPr>
                <w:rFonts w:cs="Calibri"/>
                <w:b w:val="0"/>
                <w:sz w:val="24"/>
                <w:szCs w:val="24"/>
              </w:rPr>
              <w:t>l insight into CTX-M-15 β-lactamase folding pathway: Characterization of intermediate states by biophysical approaches. In “</w:t>
            </w:r>
            <w:r>
              <w:rPr>
                <w:rFonts w:cs="Calibri"/>
                <w:b w:val="0"/>
                <w:i/>
                <w:sz w:val="24"/>
                <w:szCs w:val="24"/>
              </w:rPr>
              <w:t>The Second International Symposium on Protein Folding and Dynamics</w:t>
            </w:r>
            <w:r>
              <w:rPr>
                <w:rFonts w:cs="Calibri"/>
                <w:b w:val="0"/>
                <w:sz w:val="24"/>
                <w:szCs w:val="24"/>
              </w:rPr>
              <w:t>” organised by National Centre for Biological Sciences, TIFR, GKVK</w:t>
            </w:r>
            <w:r>
              <w:rPr>
                <w:rFonts w:cs="Calibri"/>
                <w:b w:val="0"/>
                <w:sz w:val="24"/>
                <w:szCs w:val="24"/>
              </w:rPr>
              <w:t>, Bangalore-560065,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2013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Shamsi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H and Khan AU. Mapping the binding site of imipenem on human serum albumin: a spectroscopic and molecular docking study. In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“Recent Trends in Protein Structural Biology”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organised by Centre for Interdiscipl</w:t>
            </w:r>
            <w:r>
              <w:rPr>
                <w:rFonts w:cs="Calibri"/>
                <w:b w:val="0"/>
                <w:sz w:val="24"/>
                <w:szCs w:val="24"/>
              </w:rPr>
              <w:t xml:space="preserve">inary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(Central University), New Delhi-110025,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2011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</w:rPr>
              <w:t>, Rahman S and Ahmad F. Role of Salt in Urea-Methylamine Compensation on Protein Stability and Function</w:t>
            </w:r>
            <w:r>
              <w:rPr>
                <w:rFonts w:cs="Calibri"/>
                <w:b w:val="0"/>
                <w:i/>
                <w:sz w:val="24"/>
                <w:szCs w:val="24"/>
              </w:rPr>
              <w:t>.</w:t>
            </w:r>
            <w:r>
              <w:rPr>
                <w:rFonts w:cs="Calibri"/>
                <w:b w:val="0"/>
                <w:sz w:val="24"/>
                <w:szCs w:val="24"/>
              </w:rPr>
              <w:t xml:space="preserve"> In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“International Interdisciplinary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Science Conference on Bioinformatics: An Interface between Computer Science and Biology”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Centre for Interdisciplinary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(Central University), New Delhi-110025,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2010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Rehman MT</w:t>
            </w:r>
            <w:r>
              <w:rPr>
                <w:rFonts w:cs="Calibr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Dey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P, Ahmad</w:t>
            </w:r>
            <w:r>
              <w:rPr>
                <w:rFonts w:cs="Calibri"/>
                <w:b w:val="0"/>
                <w:sz w:val="24"/>
                <w:szCs w:val="24"/>
              </w:rPr>
              <w:t xml:space="preserve"> F and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Batra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JK. Mechanism of Double Stranded RNA Cleavage by Human Pancreatic Ribonuclease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. </w:t>
            </w:r>
            <w:r>
              <w:rPr>
                <w:rFonts w:cs="Calibri"/>
                <w:b w:val="0"/>
                <w:sz w:val="24"/>
                <w:szCs w:val="24"/>
              </w:rPr>
              <w:t xml:space="preserve">Poster presented in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“Symposium on Recent Trends in Biophysics and Workshop on emerging techniques in Biophysics” </w:t>
            </w:r>
            <w:r>
              <w:rPr>
                <w:rFonts w:cs="Calibri"/>
                <w:b w:val="0"/>
                <w:sz w:val="24"/>
                <w:szCs w:val="24"/>
              </w:rPr>
              <w:t xml:space="preserve">organized by Department of Physics, Banaras Hindu </w:t>
            </w:r>
            <w:r>
              <w:rPr>
                <w:rFonts w:cs="Calibri"/>
                <w:b w:val="0"/>
                <w:sz w:val="24"/>
                <w:szCs w:val="24"/>
              </w:rPr>
              <w:t>University, Varanasi, Uttar Pradesh, India.</w:t>
            </w:r>
          </w:p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Participation:</w:t>
            </w:r>
          </w:p>
          <w:p w:rsidR="0012394F" w:rsidRDefault="00F9711B">
            <w:pPr>
              <w:spacing w:before="120" w:after="120"/>
              <w:ind w:left="706" w:hanging="70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2019    BioCosm-2019 National Conference on “Recent Advances and Current Trends in Biological Sciences” organized by Baba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Saheb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Ambedkar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Bihar University,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Muzaffarpur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Bihar, India.</w:t>
            </w:r>
          </w:p>
          <w:p w:rsidR="0012394F" w:rsidRDefault="00F9711B">
            <w:pPr>
              <w:spacing w:before="120" w:after="120"/>
              <w:ind w:left="706" w:hanging="70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2014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b w:val="0"/>
                <w:i/>
                <w:sz w:val="24"/>
                <w:szCs w:val="24"/>
              </w:rPr>
              <w:t>“Aligarh N</w:t>
            </w:r>
            <w:r>
              <w:rPr>
                <w:rFonts w:cs="Calibri"/>
                <w:b w:val="0"/>
                <w:i/>
                <w:sz w:val="24"/>
                <w:szCs w:val="24"/>
              </w:rPr>
              <w:t>ano-4: an international Conference on Nanoscience and Nanotechnology”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co-sponsored by Ohio State University (USA)-AMU STEM Education and Research Centre, organised by Aligarh Muslim University, Aligarh, Uttar Pradesh-202002, India.</w:t>
            </w:r>
          </w:p>
          <w:p w:rsidR="0012394F" w:rsidRDefault="00F9711B">
            <w:pPr>
              <w:spacing w:before="6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2011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“Current Trends in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Structural Biology”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Protein Structural Biology Lab, Department of Biophysics, All India Institute of Medical Sciences, New Delhi-110029, India.</w:t>
            </w:r>
          </w:p>
          <w:p w:rsidR="0012394F" w:rsidRDefault="00F9711B">
            <w:pPr>
              <w:spacing w:before="120" w:after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2011</w:t>
            </w:r>
            <w:r>
              <w:rPr>
                <w:rFonts w:cs="Calibri"/>
                <w:b w:val="0"/>
                <w:sz w:val="24"/>
                <w:szCs w:val="24"/>
              </w:rPr>
              <w:tab/>
              <w:t xml:space="preserve">UGC-sponsored National Symposium on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“Biomolecular Drug Targets”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Interdisciplinary Biotechnology Unit, Aligarh Muslim University, Aligarh, Uttar Pradesh-202002,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2010</w:t>
            </w:r>
            <w:r>
              <w:rPr>
                <w:rFonts w:cs="Calibri"/>
                <w:b w:val="0"/>
                <w:sz w:val="24"/>
                <w:szCs w:val="24"/>
              </w:rPr>
              <w:tab/>
              <w:t xml:space="preserve">International Interdisciplinary Science Conference on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Nanobiotechnology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: An Interface Between Physics </w:t>
            </w:r>
            <w:proofErr w:type="gramStart"/>
            <w:r>
              <w:rPr>
                <w:rFonts w:cs="Calibri"/>
                <w:b w:val="0"/>
                <w:i/>
                <w:sz w:val="24"/>
                <w:szCs w:val="24"/>
              </w:rPr>
              <w:t>And</w:t>
            </w:r>
            <w:proofErr w:type="gramEnd"/>
            <w:r>
              <w:rPr>
                <w:rFonts w:cs="Calibri"/>
                <w:b w:val="0"/>
                <w:i/>
                <w:sz w:val="24"/>
                <w:szCs w:val="24"/>
              </w:rPr>
              <w:t xml:space="preserve"> Biology” </w:t>
            </w:r>
            <w:r>
              <w:rPr>
                <w:rFonts w:cs="Calibri"/>
                <w:b w:val="0"/>
                <w:sz w:val="24"/>
                <w:szCs w:val="24"/>
              </w:rPr>
              <w:t>organized by Centr</w:t>
            </w:r>
            <w:r>
              <w:rPr>
                <w:rFonts w:cs="Calibri"/>
                <w:b w:val="0"/>
                <w:sz w:val="24"/>
                <w:szCs w:val="24"/>
              </w:rPr>
              <w:t xml:space="preserve">e for Interdisciplinary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New Delhi-110 025,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2009</w:t>
            </w:r>
            <w:r>
              <w:rPr>
                <w:rFonts w:cs="Calibri"/>
                <w:b w:val="0"/>
                <w:sz w:val="24"/>
                <w:szCs w:val="24"/>
              </w:rPr>
              <w:tab/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“National Symposium on Advances in Clinical </w:t>
            </w:r>
            <w:proofErr w:type="spellStart"/>
            <w:r>
              <w:rPr>
                <w:rFonts w:cs="Calibri"/>
                <w:b w:val="0"/>
                <w:i/>
                <w:sz w:val="24"/>
                <w:szCs w:val="24"/>
              </w:rPr>
              <w:t>Biochemisry</w:t>
            </w:r>
            <w:proofErr w:type="spellEnd"/>
            <w:r>
              <w:rPr>
                <w:rFonts w:cs="Calibri"/>
                <w:b w:val="0"/>
                <w:i/>
                <w:sz w:val="24"/>
                <w:szCs w:val="24"/>
              </w:rPr>
              <w:t>- Biomarkers, Molecular Diagnosis and Quality Assurances &amp; 1</w:t>
            </w:r>
            <w:r>
              <w:rPr>
                <w:rFonts w:cs="Calibri"/>
                <w:b w:val="0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 w:val="0"/>
                <w:i/>
                <w:sz w:val="24"/>
                <w:szCs w:val="24"/>
              </w:rPr>
              <w:t xml:space="preserve"> U.P. Chapter of Association of Clinical Biochemists of India (UPACBICON)”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Department of Biochemistry, Faculty of Medicine, Jawaharlal Nehru Medical College, Aligarh Muslim University, Aligarh, Uttar Pradesh, 202 002,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2009</w:t>
            </w:r>
            <w:r>
              <w:rPr>
                <w:rFonts w:cs="Calibri"/>
                <w:b w:val="0"/>
                <w:sz w:val="24"/>
                <w:szCs w:val="24"/>
              </w:rPr>
              <w:tab/>
              <w:t>Interdiscipli</w:t>
            </w:r>
            <w:r>
              <w:rPr>
                <w:rFonts w:cs="Calibri"/>
                <w:b w:val="0"/>
                <w:sz w:val="24"/>
                <w:szCs w:val="24"/>
              </w:rPr>
              <w:t xml:space="preserve">nary Science Conference on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“Interface between Chemistry and Biology”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Centre for Interdisciplinary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New Delhi-110 025, India.</w:t>
            </w:r>
          </w:p>
          <w:p w:rsidR="0012394F" w:rsidRDefault="00F9711B">
            <w:pPr>
              <w:spacing w:before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2008</w:t>
            </w:r>
            <w:r>
              <w:rPr>
                <w:rFonts w:cs="Calibri"/>
                <w:b w:val="0"/>
                <w:sz w:val="24"/>
                <w:szCs w:val="24"/>
              </w:rPr>
              <w:tab/>
              <w:t xml:space="preserve">Interdisciplinary Science Conference on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“Mathematics in Biology”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Centre for Interdisciplinary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New Delhi-110 025, India.</w:t>
            </w:r>
          </w:p>
          <w:p w:rsidR="0012394F" w:rsidRDefault="00F9711B">
            <w:pPr>
              <w:spacing w:before="120" w:after="120"/>
              <w:ind w:left="720" w:hanging="7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2007</w:t>
            </w:r>
            <w:r>
              <w:rPr>
                <w:rFonts w:cs="Calibri"/>
                <w:b w:val="0"/>
                <w:sz w:val="24"/>
                <w:szCs w:val="24"/>
              </w:rPr>
              <w:tab/>
              <w:t xml:space="preserve">Interdisciplinary Science Conference on </w:t>
            </w:r>
            <w:r>
              <w:rPr>
                <w:rFonts w:cs="Calibri"/>
                <w:b w:val="0"/>
                <w:i/>
                <w:sz w:val="24"/>
                <w:szCs w:val="24"/>
              </w:rPr>
              <w:t>“Recent Trends in Research in Biological Sciences”</w:t>
            </w:r>
            <w:r>
              <w:rPr>
                <w:rFonts w:cs="Calibri"/>
                <w:b w:val="0"/>
                <w:sz w:val="24"/>
                <w:szCs w:val="24"/>
              </w:rPr>
              <w:t xml:space="preserve"> organized by Centre for Interdisciplinary</w:t>
            </w:r>
            <w:r>
              <w:rPr>
                <w:rFonts w:cs="Calibri"/>
                <w:b w:val="0"/>
                <w:sz w:val="24"/>
                <w:szCs w:val="24"/>
              </w:rPr>
              <w:t xml:space="preserve"> Research in Basic Sciences,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, New Delhi-110 025, India.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PERSONAL DETAILS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12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  <w:tbl>
            <w:tblPr>
              <w:tblStyle w:val="a2"/>
              <w:tblW w:w="9619" w:type="dxa"/>
              <w:tblInd w:w="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46"/>
              <w:gridCol w:w="7073"/>
            </w:tblGrid>
            <w:tr w:rsidR="0012394F">
              <w:trPr>
                <w:trHeight w:val="330"/>
              </w:trPr>
              <w:tc>
                <w:tcPr>
                  <w:tcW w:w="2546" w:type="dxa"/>
                  <w:vAlign w:val="bottom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before="240"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7073" w:type="dxa"/>
                  <w:vAlign w:val="bottom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19-08-1983</w:t>
                  </w:r>
                </w:p>
              </w:tc>
            </w:tr>
            <w:tr w:rsidR="0012394F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lastRenderedPageBreak/>
                    <w:t>Nationality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Indian</w:t>
                  </w:r>
                </w:p>
              </w:tc>
            </w:tr>
            <w:tr w:rsidR="0012394F">
              <w:trPr>
                <w:trHeight w:val="330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Male</w:t>
                  </w:r>
                </w:p>
              </w:tc>
            </w:tr>
            <w:tr w:rsidR="0012394F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Married</w:t>
                  </w:r>
                </w:p>
              </w:tc>
            </w:tr>
            <w:tr w:rsidR="0012394F">
              <w:trPr>
                <w:trHeight w:val="330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Spouse Name 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Nishat Fatima</w:t>
                  </w:r>
                </w:p>
              </w:tc>
            </w:tr>
            <w:tr w:rsidR="0012394F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Phone No.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+966556814200 (Saudi Arabia)</w:t>
                  </w:r>
                </w:p>
              </w:tc>
            </w:tr>
            <w:tr w:rsidR="0012394F">
              <w:trPr>
                <w:trHeight w:val="330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Skype ID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tabish5413</w:t>
                  </w:r>
                </w:p>
              </w:tc>
            </w:tr>
            <w:tr w:rsidR="0012394F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Passport No.</w:t>
                  </w:r>
                </w:p>
              </w:tc>
              <w:tc>
                <w:tcPr>
                  <w:tcW w:w="7073" w:type="dxa"/>
                  <w:vAlign w:val="center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T2475065</w:t>
                  </w:r>
                </w:p>
              </w:tc>
            </w:tr>
            <w:tr w:rsidR="0012394F">
              <w:trPr>
                <w:trHeight w:val="345"/>
              </w:trPr>
              <w:tc>
                <w:tcPr>
                  <w:tcW w:w="2546" w:type="dxa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Permanent address</w:t>
                  </w:r>
                </w:p>
                <w:p w:rsidR="0012394F" w:rsidRDefault="001239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73" w:type="dxa"/>
                </w:tcPr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F-3, Azim Apartment, New Sir Syed Nagar </w:t>
                  </w:r>
                </w:p>
                <w:p w:rsidR="0012394F" w:rsidRDefault="00F9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08"/>
                    </w:tabs>
                    <w:spacing w:after="120" w:line="276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Aligarh, UP-202 002, India</w:t>
                  </w:r>
                </w:p>
              </w:tc>
            </w:tr>
          </w:tbl>
          <w:p w:rsidR="0012394F" w:rsidRDefault="0012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REFERENCES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</w:tcPr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Dr.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Mohamed Fahad AlAjmi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Professor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Department of Pharmacognosy, College of Pharmacy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King Saud University, P.O. Box 2457, 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Riyadh – 11451, Kingdom of Saudi Arabia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Email Id: </w:t>
            </w:r>
            <w:hyperlink r:id="rId8">
              <w:r>
                <w:rPr>
                  <w:rFonts w:cs="Calibri"/>
                  <w:b w:val="0"/>
                  <w:sz w:val="24"/>
                  <w:szCs w:val="24"/>
                </w:rPr>
                <w:t>malajmii@ksu.edu.sa</w:t>
              </w:r>
            </w:hyperlink>
            <w:r>
              <w:rPr>
                <w:rFonts w:cs="Calibri"/>
                <w:b w:val="0"/>
                <w:sz w:val="24"/>
                <w:szCs w:val="24"/>
              </w:rPr>
              <w:t>;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sz w:val="24"/>
                <w:szCs w:val="24"/>
              </w:rPr>
              <w:t>Contact No.: +966-505151846</w:t>
            </w:r>
          </w:p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Dr.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Asad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U Khan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Professor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Interdisciplinary Biotechnology Unit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Aligarh Muslim University, Aligarh – 202 002, India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Email Id: </w:t>
            </w:r>
            <w:hyperlink r:id="rId9">
              <w:r>
                <w:rPr>
                  <w:rFonts w:cs="Calibri"/>
                  <w:b w:val="0"/>
                  <w:sz w:val="24"/>
                  <w:szCs w:val="24"/>
                </w:rPr>
                <w:t>asad.k@rediffmail.com</w:t>
              </w:r>
            </w:hyperlink>
            <w:r>
              <w:rPr>
                <w:rFonts w:cs="Calibri"/>
                <w:b w:val="0"/>
                <w:sz w:val="24"/>
                <w:szCs w:val="24"/>
              </w:rPr>
              <w:t xml:space="preserve">; </w:t>
            </w:r>
            <w:r>
              <w:rPr>
                <w:rFonts w:cs="Calibri"/>
                <w:b w:val="0"/>
                <w:sz w:val="24"/>
                <w:szCs w:val="24"/>
              </w:rPr>
              <w:t>Contact No.: +91-9837021912</w:t>
            </w:r>
          </w:p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Dr.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Faizan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Ahmad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Professor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Centre for Interdisciplinary Research in Basic Sciences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Jamia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Millia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Islamia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(Central University)</w:t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New Delhi - 110 025, India</w:t>
            </w:r>
          </w:p>
          <w:p w:rsidR="0012394F" w:rsidRDefault="00F9711B">
            <w:pPr>
              <w:spacing w:after="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Email Id: </w:t>
            </w:r>
            <w:hyperlink r:id="rId10">
              <w:r>
                <w:rPr>
                  <w:rFonts w:cs="Calibri"/>
                  <w:b w:val="0"/>
                  <w:sz w:val="24"/>
                  <w:szCs w:val="24"/>
                </w:rPr>
                <w:t>faizan.ahmad.jmi@gmail.com</w:t>
              </w:r>
            </w:hyperlink>
            <w:r>
              <w:rPr>
                <w:rFonts w:cs="Calibri"/>
                <w:b w:val="0"/>
                <w:sz w:val="24"/>
                <w:szCs w:val="24"/>
              </w:rPr>
              <w:t>; Contact No.: +91-9810413115</w:t>
            </w:r>
          </w:p>
        </w:tc>
      </w:tr>
      <w:tr w:rsidR="0012394F" w:rsidTr="0012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  <w:shd w:val="clear" w:color="auto" w:fill="15C2FF"/>
          </w:tcPr>
          <w:p w:rsidR="0012394F" w:rsidRDefault="00F9711B">
            <w:pPr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DECLARATION</w:t>
            </w:r>
          </w:p>
        </w:tc>
      </w:tr>
      <w:tr w:rsidR="0012394F" w:rsidTr="0012394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12394F" w:rsidRDefault="00F9711B">
            <w:pPr>
              <w:spacing w:before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I hereby declare that the details stated above are true to the best of my knowledge and belief.</w:t>
            </w:r>
          </w:p>
          <w:p w:rsidR="0012394F" w:rsidRDefault="00F9711B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92951" cy="442383"/>
                  <wp:effectExtent l="0" t="0" r="0" b="0"/>
                  <wp:docPr id="2" name="image1.png" descr="C:\Users\user\Desktop\Tabish_KSU\MMeeeeeee\Tabish Sig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esktop\Tabish_KSU\MMeeeeeee\Tabish Sign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51" cy="442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394F" w:rsidRDefault="00F9711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(Md. Tabish Rehman)</w:t>
            </w:r>
          </w:p>
        </w:tc>
      </w:tr>
    </w:tbl>
    <w:p w:rsidR="0012394F" w:rsidRDefault="0012394F">
      <w:pPr>
        <w:spacing w:after="0" w:line="240" w:lineRule="auto"/>
        <w:rPr>
          <w:rFonts w:cs="Calibri"/>
          <w:sz w:val="24"/>
          <w:szCs w:val="24"/>
        </w:rPr>
      </w:pPr>
    </w:p>
    <w:sectPr w:rsidR="0012394F">
      <w:pgSz w:w="11906" w:h="16838"/>
      <w:pgMar w:top="1080" w:right="1440" w:bottom="99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LGC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5F1"/>
    <w:multiLevelType w:val="multilevel"/>
    <w:tmpl w:val="A9303F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102E7"/>
    <w:multiLevelType w:val="multilevel"/>
    <w:tmpl w:val="FF72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F4840"/>
    <w:multiLevelType w:val="multilevel"/>
    <w:tmpl w:val="111A86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4589"/>
    <w:multiLevelType w:val="multilevel"/>
    <w:tmpl w:val="CDB05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FB5A04"/>
    <w:multiLevelType w:val="multilevel"/>
    <w:tmpl w:val="4F7CB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17571B"/>
    <w:multiLevelType w:val="multilevel"/>
    <w:tmpl w:val="C3DE8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cyNDUxt7CwMDJQ0lEKTi0uzszPAykwrAUAnGn62SwAAAA="/>
  </w:docVars>
  <w:rsids>
    <w:rsidRoot w:val="0012394F"/>
    <w:rsid w:val="0012394F"/>
    <w:rsid w:val="00296009"/>
    <w:rsid w:val="004C1289"/>
    <w:rsid w:val="006149F2"/>
    <w:rsid w:val="007D30F4"/>
    <w:rsid w:val="00970E54"/>
    <w:rsid w:val="00A444CF"/>
    <w:rsid w:val="00CB3D47"/>
    <w:rsid w:val="00EC6AF0"/>
    <w:rsid w:val="00F9711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CC6E"/>
  <w15:docId w15:val="{C8A63871-47E7-456D-889E-1576C24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SG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6DE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96DE2"/>
    <w:pPr>
      <w:widowControl w:val="0"/>
      <w:suppressAutoHyphens/>
      <w:spacing w:after="120" w:line="240" w:lineRule="auto"/>
    </w:pPr>
    <w:rPr>
      <w:rFonts w:ascii="Liberation Serif" w:eastAsia="DejaVu LGC Sans" w:hAnsi="Liberation Serif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DE2"/>
    <w:rPr>
      <w:rFonts w:ascii="Liberation Serif" w:eastAsia="DejaVu LGC Sans" w:hAnsi="Liberation Serif" w:cs="Times New Roman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7807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108F3"/>
    <w:rPr>
      <w:rFonts w:asciiTheme="majorHAnsi" w:eastAsiaTheme="majorEastAsia" w:hAnsiTheme="majorHAnsi" w:cstheme="majorBidi"/>
      <w:b/>
      <w:bCs/>
      <w:i/>
      <w:iCs/>
      <w:color w:val="4F81BD" w:themeColor="accent1"/>
      <w:lang w:val="en-SG"/>
    </w:rPr>
  </w:style>
  <w:style w:type="character" w:styleId="Emphasis">
    <w:name w:val="Emphasis"/>
    <w:qFormat/>
    <w:rsid w:val="00DE2B90"/>
    <w:rPr>
      <w:i/>
      <w:iCs/>
    </w:rPr>
  </w:style>
  <w:style w:type="table" w:customStyle="1" w:styleId="LightShading1">
    <w:name w:val="Light Shading1"/>
    <w:basedOn w:val="TableNormal"/>
    <w:uiPriority w:val="60"/>
    <w:rsid w:val="00D10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6235A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235A3"/>
    <w:rPr>
      <w:rFonts w:ascii="Arial" w:eastAsia="Times New Roman" w:hAnsi="Arial" w:cs="Times New Roman"/>
      <w:sz w:val="24"/>
      <w:szCs w:val="20"/>
      <w:lang w:val="en-US"/>
    </w:rPr>
  </w:style>
  <w:style w:type="table" w:customStyle="1" w:styleId="LightShading2">
    <w:name w:val="Light Shading2"/>
    <w:basedOn w:val="TableNormal"/>
    <w:uiPriority w:val="60"/>
    <w:rsid w:val="001A1E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2531F"/>
    <w:rPr>
      <w:b/>
      <w:bCs/>
    </w:rPr>
  </w:style>
  <w:style w:type="character" w:customStyle="1" w:styleId="jsgrdq">
    <w:name w:val="jsgrdq"/>
    <w:basedOn w:val="DefaultParagraphFont"/>
    <w:rsid w:val="0003727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jmii@ks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2174/13816128269992011161958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tabish.rehman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faizan.ahmad.jm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d.k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w6XmqtC/i8LcLL5B4Jw6gKW5Q==">AMUW2mWMldHO5AwH22G/cl2g4dYd1tRLseTecg3v0Fiu8ea54Sgk1IGkj7LT6nlbRzxRtT/108NWdLk0PBbuHFic8WVaYMWWJcn9gTxMIbRwFuuinSd1fvS3s/g0LZPjMFIA6gedkwXA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6641</Words>
  <Characters>37859</Characters>
  <Application>Microsoft Office Word</Application>
  <DocSecurity>0</DocSecurity>
  <Lines>315</Lines>
  <Paragraphs>88</Paragraphs>
  <ScaleCrop>false</ScaleCrop>
  <Company/>
  <LinksUpToDate>false</LinksUpToDate>
  <CharactersWithSpaces>44412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Mohammad Tabish Rehman</cp:lastModifiedBy>
  <cp:revision>11</cp:revision>
  <dcterms:created xsi:type="dcterms:W3CDTF">2018-05-22T11:53:00Z</dcterms:created>
  <dcterms:modified xsi:type="dcterms:W3CDTF">2021-03-29T08:16:00Z</dcterms:modified>
</cp:coreProperties>
</file>