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04" w:rsidRDefault="00836304" w:rsidP="00836304">
      <w:pPr>
        <w:pStyle w:val="Default"/>
      </w:pPr>
    </w:p>
    <w:p w:rsidR="00836304" w:rsidRDefault="00836304" w:rsidP="0083630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Confidence interval for the proportion </w:t>
      </w:r>
    </w:p>
    <w:p w:rsidR="00836304" w:rsidRDefault="00836304" w:rsidP="008363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9.53 (a) </w:t>
      </w:r>
      <w:r>
        <w:rPr>
          <w:sz w:val="23"/>
          <w:szCs w:val="23"/>
        </w:rPr>
        <w:t xml:space="preserve">A random sample of 200 voters in a town is selected, and 114 are found to support an annexation suit. Find the 96% confidence interval for the fraction of the voting population favoring the suit. </w:t>
      </w:r>
    </w:p>
    <w:p w:rsidR="003F5AA4" w:rsidRDefault="00836304" w:rsidP="00836304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r>
        <w:rPr>
          <w:sz w:val="23"/>
          <w:szCs w:val="23"/>
        </w:rPr>
        <w:t>What can we assert with 96% confidence about the possible size of our error if we estimate the fraction of voters favoring the annexation suit to be 0.57?</w:t>
      </w:r>
    </w:p>
    <w:p w:rsidR="00836304" w:rsidRPr="00061E9F" w:rsidRDefault="00B928CF" w:rsidP="001002DC">
      <w:pPr>
        <w:rPr>
          <w:rFonts w:eastAsiaTheme="minorEastAsia"/>
          <w:color w:val="4472C4" w:themeColor="accent5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color w:val="4472C4" w:themeColor="accent5"/>
                </w:rPr>
              </m:ctrlPr>
            </m:accPr>
            <m:e>
              <m:r>
                <w:rPr>
                  <w:rFonts w:ascii="Cambria Math" w:hAnsi="Cambria Math"/>
                  <w:color w:val="4472C4" w:themeColor="accent5"/>
                </w:rPr>
                <m:t>p</m:t>
              </m:r>
            </m:e>
          </m:acc>
          <m:r>
            <w:rPr>
              <w:rFonts w:ascii="Cambria Math" w:hAnsi="Cambria Math"/>
              <w:color w:val="4472C4" w:themeColor="accent5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4472C4" w:themeColor="accent5"/>
                </w:rPr>
              </m:ctrlPr>
            </m:fPr>
            <m:num>
              <m:r>
                <w:rPr>
                  <w:rFonts w:ascii="Cambria Math" w:hAnsi="Cambria Math"/>
                  <w:color w:val="4472C4" w:themeColor="accent5"/>
                </w:rPr>
                <m:t>114</m:t>
              </m:r>
            </m:num>
            <m:den>
              <m:r>
                <w:rPr>
                  <w:rFonts w:ascii="Cambria Math" w:hAnsi="Cambria Math"/>
                  <w:color w:val="4472C4" w:themeColor="accent5"/>
                </w:rPr>
                <m:t>200</m:t>
              </m:r>
            </m:den>
          </m:f>
          <m:r>
            <w:rPr>
              <w:rFonts w:ascii="Cambria Math" w:hAnsi="Cambria Math"/>
              <w:color w:val="4472C4" w:themeColor="accent5"/>
            </w:rPr>
            <m:t>=0.57</m:t>
          </m:r>
        </m:oMath>
      </m:oMathPara>
    </w:p>
    <w:p w:rsidR="001002DC" w:rsidRDefault="001002DC" w:rsidP="001002DC">
      <w:pPr>
        <w:rPr>
          <w:rFonts w:eastAsiaTheme="minorEastAsia"/>
          <w:color w:val="4472C4" w:themeColor="accent5"/>
        </w:rPr>
      </w:pPr>
      <w:r w:rsidRPr="00061E9F">
        <w:rPr>
          <w:rFonts w:eastAsiaTheme="minorEastAsia"/>
          <w:color w:val="4472C4" w:themeColor="accent5"/>
        </w:rPr>
        <w:t>Z</w:t>
      </w:r>
      <w:r w:rsidRPr="00061E9F">
        <w:rPr>
          <w:rFonts w:eastAsiaTheme="minorEastAsia"/>
          <w:color w:val="4472C4" w:themeColor="accent5"/>
          <w:vertAlign w:val="subscript"/>
        </w:rPr>
        <w:t xml:space="preserve">0.02 </w:t>
      </w:r>
      <w:r w:rsidR="001078C6">
        <w:rPr>
          <w:rFonts w:eastAsiaTheme="minorEastAsia"/>
          <w:color w:val="4472C4" w:themeColor="accent5"/>
        </w:rPr>
        <w:t>= 2.05</w:t>
      </w:r>
    </w:p>
    <w:p w:rsidR="00061E9F" w:rsidRDefault="00061E9F" w:rsidP="00061E9F">
      <w:pPr>
        <w:rPr>
          <w:rFonts w:eastAsiaTheme="minorEastAsia"/>
          <w:color w:val="4472C4" w:themeColor="accent5"/>
        </w:rPr>
      </w:pPr>
      <w:r>
        <w:rPr>
          <w:rFonts w:eastAsiaTheme="minorEastAsia"/>
          <w:color w:val="4472C4" w:themeColor="accent5"/>
        </w:rPr>
        <w:t xml:space="preserve">C.I : </w:t>
      </w:r>
      <m:oMath>
        <m:r>
          <w:rPr>
            <w:rFonts w:ascii="Cambria Math" w:eastAsiaTheme="minorEastAsia" w:hAnsi="Cambria Math"/>
            <w:color w:val="4472C4" w:themeColor="accent5"/>
          </w:rPr>
          <m:t>0.57-</m:t>
        </m:r>
        <m:d>
          <m:dPr>
            <m:ctrlPr>
              <w:rPr>
                <w:rFonts w:ascii="Cambria Math" w:eastAsiaTheme="minorEastAsia" w:hAnsi="Cambria Math"/>
                <w:i/>
                <w:color w:val="4472C4" w:themeColor="accent5"/>
              </w:rPr>
            </m:ctrlPr>
          </m:dPr>
          <m:e>
            <m:r>
              <w:rPr>
                <w:rFonts w:ascii="Cambria Math" w:eastAsiaTheme="minorEastAsia" w:hAnsi="Cambria Math"/>
                <w:color w:val="4472C4" w:themeColor="accent5"/>
              </w:rPr>
              <m:t>2.05</m:t>
            </m:r>
          </m:e>
        </m:d>
        <m:r>
          <w:rPr>
            <w:rFonts w:ascii="Cambria Math" w:eastAsiaTheme="minorEastAsia" w:hAnsi="Cambria Math"/>
            <w:color w:val="4472C4" w:themeColor="accent5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5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5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5"/>
                  </w:rPr>
                  <m:t>0.57*0.43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5"/>
                  </w:rPr>
                  <m:t>200</m:t>
                </m:r>
              </m:den>
            </m:f>
          </m:e>
        </m:rad>
        <m:r>
          <w:rPr>
            <w:rFonts w:ascii="Cambria Math" w:eastAsiaTheme="minorEastAsia" w:hAnsi="Cambria Math"/>
            <w:color w:val="4472C4" w:themeColor="accent5"/>
          </w:rPr>
          <m:t>&lt;p&lt; 0.57+</m:t>
        </m:r>
        <m:d>
          <m:dPr>
            <m:ctrlPr>
              <w:rPr>
                <w:rFonts w:ascii="Cambria Math" w:eastAsiaTheme="minorEastAsia" w:hAnsi="Cambria Math"/>
                <w:i/>
                <w:color w:val="4472C4" w:themeColor="accent5"/>
              </w:rPr>
            </m:ctrlPr>
          </m:dPr>
          <m:e>
            <m:r>
              <w:rPr>
                <w:rFonts w:ascii="Cambria Math" w:eastAsiaTheme="minorEastAsia" w:hAnsi="Cambria Math"/>
                <w:color w:val="4472C4" w:themeColor="accent5"/>
              </w:rPr>
              <m:t>2.05</m:t>
            </m:r>
          </m:e>
        </m:d>
        <m:r>
          <w:rPr>
            <w:rFonts w:ascii="Cambria Math" w:eastAsiaTheme="minorEastAsia" w:hAnsi="Cambria Math"/>
            <w:color w:val="4472C4" w:themeColor="accent5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5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5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5"/>
                  </w:rPr>
                  <m:t>0.57*0.43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5"/>
                  </w:rPr>
                  <m:t>200</m:t>
                </m:r>
              </m:den>
            </m:f>
          </m:e>
        </m:rad>
        <m:r>
          <w:rPr>
            <w:rFonts w:ascii="Cambria Math" w:eastAsiaTheme="minorEastAsia" w:hAnsi="Cambria Math"/>
            <w:color w:val="4472C4" w:themeColor="accent5"/>
          </w:rPr>
          <m:t xml:space="preserve"> </m:t>
        </m:r>
      </m:oMath>
    </w:p>
    <w:p w:rsidR="00061E9F" w:rsidRDefault="002954C0" w:rsidP="00061E9F">
      <w:pPr>
        <w:rPr>
          <w:rFonts w:eastAsiaTheme="minorEastAsia"/>
          <w:color w:val="4472C4" w:themeColor="accent5"/>
        </w:rPr>
      </w:pPr>
      <w:r>
        <w:rPr>
          <w:rFonts w:eastAsiaTheme="minorEastAsia"/>
          <w:color w:val="4472C4" w:themeColor="accent5"/>
        </w:rPr>
        <w:t>0.5</w:t>
      </w:r>
      <w:r w:rsidR="00061E9F">
        <w:rPr>
          <w:rFonts w:eastAsiaTheme="minorEastAsia"/>
          <w:color w:val="4472C4" w:themeColor="accent5"/>
        </w:rPr>
        <w:t xml:space="preserve"> &lt; p &lt; </w:t>
      </w:r>
      <w:r>
        <w:rPr>
          <w:rFonts w:eastAsiaTheme="minorEastAsia"/>
          <w:color w:val="4472C4" w:themeColor="accent5"/>
        </w:rPr>
        <w:t>0.64</w:t>
      </w:r>
    </w:p>
    <w:p w:rsidR="008B7F55" w:rsidRDefault="008B7F55" w:rsidP="001078C6">
      <w:pPr>
        <w:rPr>
          <w:rFonts w:eastAsiaTheme="minorEastAsia"/>
          <w:color w:val="4472C4" w:themeColor="accent5"/>
        </w:rPr>
      </w:pPr>
      <w:r>
        <w:rPr>
          <w:rFonts w:eastAsiaTheme="minorEastAsia"/>
          <w:color w:val="4472C4" w:themeColor="accent5"/>
        </w:rPr>
        <w:t xml:space="preserve">b) </w:t>
      </w:r>
      <m:oMath>
        <m:r>
          <w:rPr>
            <w:rFonts w:ascii="Cambria Math" w:eastAsiaTheme="minorEastAsia" w:hAnsi="Cambria Math"/>
            <w:color w:val="4472C4" w:themeColor="accent5"/>
          </w:rPr>
          <m:t>e will not exceed : 2.05*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472C4" w:themeColor="accent5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5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5"/>
                  </w:rPr>
                  <m:t>0.57*0.43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5"/>
                  </w:rPr>
                  <m:t>200</m:t>
                </m:r>
              </m:den>
            </m:f>
          </m:e>
        </m:rad>
        <m:r>
          <w:rPr>
            <w:rFonts w:ascii="Cambria Math" w:eastAsiaTheme="minorEastAsia" w:hAnsi="Cambria Math"/>
            <w:color w:val="4472C4" w:themeColor="accent5"/>
          </w:rPr>
          <m:t>=0.0718</m:t>
        </m:r>
      </m:oMath>
    </w:p>
    <w:p w:rsidR="008B7F55" w:rsidRDefault="008B7F55" w:rsidP="008B7F55">
      <w:pPr>
        <w:pStyle w:val="Default"/>
        <w:rPr>
          <w:sz w:val="23"/>
          <w:szCs w:val="23"/>
        </w:rPr>
      </w:pPr>
      <w:r w:rsidRPr="008B7F55">
        <w:rPr>
          <w:b/>
          <w:bCs/>
          <w:sz w:val="23"/>
          <w:szCs w:val="23"/>
        </w:rPr>
        <w:t>9.67</w:t>
      </w:r>
      <w:r>
        <w:rPr>
          <w:sz w:val="23"/>
          <w:szCs w:val="23"/>
        </w:rPr>
        <w:t xml:space="preserve"> A clinical trial was conducted to determine if a certain type of inoculation has an effect on the incidence of a certain disease. A sample of </w:t>
      </w:r>
      <w:r>
        <w:rPr>
          <w:b/>
          <w:bCs/>
          <w:sz w:val="23"/>
          <w:szCs w:val="23"/>
        </w:rPr>
        <w:t xml:space="preserve">1000 </w:t>
      </w:r>
      <w:r>
        <w:rPr>
          <w:sz w:val="23"/>
          <w:szCs w:val="23"/>
        </w:rPr>
        <w:t xml:space="preserve">rats was kept in a controlled environment for a period of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 xml:space="preserve">year, and </w:t>
      </w:r>
      <w:r>
        <w:rPr>
          <w:b/>
          <w:bCs/>
          <w:sz w:val="23"/>
          <w:szCs w:val="23"/>
        </w:rPr>
        <w:t xml:space="preserve">500 </w:t>
      </w:r>
      <w:r>
        <w:rPr>
          <w:sz w:val="23"/>
          <w:szCs w:val="23"/>
        </w:rPr>
        <w:t xml:space="preserve">of the rats were given the inoculation. In the group not inoculated, there were </w:t>
      </w:r>
      <w:r>
        <w:rPr>
          <w:b/>
          <w:bCs/>
          <w:sz w:val="23"/>
          <w:szCs w:val="23"/>
        </w:rPr>
        <w:t xml:space="preserve">120 </w:t>
      </w:r>
      <w:r>
        <w:rPr>
          <w:sz w:val="23"/>
          <w:szCs w:val="23"/>
        </w:rPr>
        <w:t xml:space="preserve">incidences of the disease, while </w:t>
      </w:r>
      <w:r>
        <w:rPr>
          <w:b/>
          <w:bCs/>
          <w:sz w:val="23"/>
          <w:szCs w:val="23"/>
        </w:rPr>
        <w:t xml:space="preserve">98 </w:t>
      </w:r>
      <w:r>
        <w:rPr>
          <w:sz w:val="23"/>
          <w:szCs w:val="23"/>
        </w:rPr>
        <w:t xml:space="preserve">of the rats in the inoculated group contracted it. If </w:t>
      </w:r>
      <w:r>
        <w:rPr>
          <w:b/>
          <w:bCs/>
          <w:i/>
          <w:iCs/>
          <w:sz w:val="23"/>
          <w:szCs w:val="23"/>
        </w:rPr>
        <w:t>p</w:t>
      </w:r>
      <w:r>
        <w:rPr>
          <w:b/>
          <w:bCs/>
          <w:sz w:val="16"/>
          <w:szCs w:val="16"/>
        </w:rPr>
        <w:t xml:space="preserve">1 </w:t>
      </w:r>
      <w:r>
        <w:rPr>
          <w:sz w:val="23"/>
          <w:szCs w:val="23"/>
        </w:rPr>
        <w:t xml:space="preserve">is the probability of incidence of </w:t>
      </w:r>
    </w:p>
    <w:p w:rsidR="008B7F55" w:rsidRPr="00061E9F" w:rsidRDefault="008B7F55" w:rsidP="008B7F55">
      <w:pPr>
        <w:rPr>
          <w:rFonts w:eastAsiaTheme="minorEastAsia"/>
          <w:color w:val="4472C4" w:themeColor="accent5"/>
        </w:rPr>
      </w:pPr>
      <w:r>
        <w:rPr>
          <w:sz w:val="23"/>
          <w:szCs w:val="23"/>
        </w:rPr>
        <w:t xml:space="preserve">the disease in </w:t>
      </w:r>
      <w:proofErr w:type="spellStart"/>
      <w:r>
        <w:rPr>
          <w:sz w:val="23"/>
          <w:szCs w:val="23"/>
        </w:rPr>
        <w:t>uninoculated</w:t>
      </w:r>
      <w:proofErr w:type="spellEnd"/>
      <w:r>
        <w:rPr>
          <w:sz w:val="23"/>
          <w:szCs w:val="23"/>
        </w:rPr>
        <w:t xml:space="preserve"> rats and </w:t>
      </w:r>
      <w:r>
        <w:rPr>
          <w:b/>
          <w:bCs/>
          <w:i/>
          <w:iCs/>
          <w:sz w:val="23"/>
          <w:szCs w:val="23"/>
        </w:rPr>
        <w:t>p</w:t>
      </w:r>
      <w:r>
        <w:rPr>
          <w:b/>
          <w:bCs/>
          <w:sz w:val="16"/>
          <w:szCs w:val="16"/>
        </w:rPr>
        <w:t xml:space="preserve">2 </w:t>
      </w:r>
      <w:r>
        <w:rPr>
          <w:sz w:val="23"/>
          <w:szCs w:val="23"/>
        </w:rPr>
        <w:t xml:space="preserve">the probability of incidence in inoculated rats, compute a </w:t>
      </w:r>
      <w:r>
        <w:rPr>
          <w:b/>
          <w:bCs/>
          <w:sz w:val="23"/>
          <w:szCs w:val="23"/>
        </w:rPr>
        <w:t xml:space="preserve">90% </w:t>
      </w:r>
      <w:r>
        <w:rPr>
          <w:sz w:val="23"/>
          <w:szCs w:val="23"/>
        </w:rPr>
        <w:t xml:space="preserve">confidence interval for </w:t>
      </w:r>
      <w:r>
        <w:rPr>
          <w:b/>
          <w:bCs/>
          <w:i/>
          <w:iCs/>
          <w:sz w:val="23"/>
          <w:szCs w:val="23"/>
        </w:rPr>
        <w:t>p</w:t>
      </w:r>
      <w:r>
        <w:rPr>
          <w:b/>
          <w:bCs/>
          <w:sz w:val="16"/>
          <w:szCs w:val="16"/>
        </w:rPr>
        <w:t xml:space="preserve">1 </w:t>
      </w:r>
      <w:r>
        <w:rPr>
          <w:b/>
          <w:bCs/>
          <w:i/>
          <w:iCs/>
          <w:sz w:val="23"/>
          <w:szCs w:val="23"/>
        </w:rPr>
        <w:t>− p</w:t>
      </w:r>
      <w:r>
        <w:rPr>
          <w:b/>
          <w:bCs/>
          <w:sz w:val="16"/>
          <w:szCs w:val="16"/>
        </w:rPr>
        <w:t>2</w:t>
      </w:r>
      <w:r>
        <w:rPr>
          <w:sz w:val="23"/>
          <w:szCs w:val="23"/>
        </w:rPr>
        <w:t>.</w:t>
      </w:r>
    </w:p>
    <w:p w:rsidR="001002DC" w:rsidRDefault="00C622A8" w:rsidP="00C622A8">
      <w:pPr>
        <w:rPr>
          <w:rFonts w:eastAsiaTheme="minorEastAsia"/>
        </w:rPr>
      </w:pPr>
      <w:r w:rsidRPr="00C622A8">
        <w:rPr>
          <w:rFonts w:eastAsiaTheme="minorEastAsia"/>
          <w:noProof/>
        </w:rPr>
        <w:lastRenderedPageBreak/>
        <w:drawing>
          <wp:inline distT="0" distB="0" distL="0" distR="0" wp14:anchorId="79F9F257" wp14:editId="04D2DC95">
            <wp:extent cx="5295569" cy="4054757"/>
            <wp:effectExtent l="0" t="0" r="635" b="3175"/>
            <wp:docPr id="1" name="Picture 1" descr="https://d2nchlq0f2u6vy.cloudfront.net/19/02/22/db68086b51cffe4624722fc931a4bd25/ff614e2dd1ae83cd67eb1b230d852936/lateximg_large.png?tcb=160270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nchlq0f2u6vy.cloudfront.net/19/02/22/db68086b51cffe4624722fc931a4bd25/ff614e2dd1ae83cd67eb1b230d852936/lateximg_large.png?tcb=16027067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53" cy="40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39" w:rsidRDefault="00F56239" w:rsidP="00C622A8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>
            <wp:extent cx="3574699" cy="4882101"/>
            <wp:effectExtent l="0" t="0" r="6985" b="0"/>
            <wp:docPr id="2" name="Picture 2" descr="https://d2nchlq0f2u6vy.cloudfront.net/19/02/22/db68086b51cffe4624722fc931a4bd25/062030ae36b5ebdf65f83bef051b9a9f/lateximg_large.png?tcb=160270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nchlq0f2u6vy.cloudfront.net/19/02/22/db68086b51cffe4624722fc931a4bd25/062030ae36b5ebdf65f83bef051b9a9f/lateximg_large.png?tcb=16027067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66" cy="48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39" w:rsidRDefault="00F56239" w:rsidP="00C622A8">
      <w:pPr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486400" cy="1645076"/>
            <wp:effectExtent l="0" t="0" r="0" b="0"/>
            <wp:docPr id="3" name="Picture 3" descr="https://d2nchlq0f2u6vy.cloudfront.net/19/02/22/db68086b51cffe4624722fc931a4bd25/70fb3e8403e66092db3e0c6dea002803/lateximg_large.png?tcb=160270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nchlq0f2u6vy.cloudfront.net/19/02/22/db68086b51cffe4624722fc931a4bd25/70fb3e8403e66092db3e0c6dea002803/lateximg_large.png?tcb=16027067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39" w:rsidRDefault="00F56239" w:rsidP="00C622A8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>
            <wp:extent cx="5486400" cy="2520262"/>
            <wp:effectExtent l="0" t="0" r="0" b="0"/>
            <wp:docPr id="4" name="Picture 4" descr="https://d2nchlq0f2u6vy.cloudfront.net/19/02/22/db68086b51cffe4624722fc931a4bd25/849ddcf7ebdf7a42d20811de3291dd05/lateximg_large.png?tcb=160270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nchlq0f2u6vy.cloudfront.net/19/02/22/db68086b51cffe4624722fc931a4bd25/849ddcf7ebdf7a42d20811de3291dd05/lateximg_large.png?tcb=1602706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39" w:rsidRDefault="00930E39" w:rsidP="00930E39">
      <w:pPr>
        <w:pStyle w:val="Default"/>
        <w:rPr>
          <w:rFonts w:hint="cs"/>
          <w:b/>
          <w:bCs/>
          <w:sz w:val="23"/>
          <w:szCs w:val="23"/>
          <w:rtl/>
        </w:rPr>
      </w:pPr>
      <w:r>
        <w:rPr>
          <w:rFonts w:hint="cs"/>
          <w:b/>
          <w:bCs/>
          <w:sz w:val="23"/>
          <w:szCs w:val="23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30E39" w:rsidRDefault="00930E39" w:rsidP="00930E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Confidence interval for Variance </w:t>
      </w:r>
    </w:p>
    <w:p w:rsidR="00930E39" w:rsidRDefault="00930E39" w:rsidP="00930E39">
      <w:pPr>
        <w:rPr>
          <w:sz w:val="23"/>
          <w:szCs w:val="23"/>
          <w:rtl/>
        </w:rPr>
      </w:pPr>
      <w:r>
        <w:rPr>
          <w:b/>
          <w:bCs/>
          <w:sz w:val="23"/>
          <w:szCs w:val="23"/>
        </w:rPr>
        <w:t xml:space="preserve">9.72 </w:t>
      </w:r>
      <w:r>
        <w:rPr>
          <w:sz w:val="23"/>
          <w:szCs w:val="23"/>
        </w:rPr>
        <w:t xml:space="preserve">A random sample of 20 students yielded a </w:t>
      </w:r>
      <w:r>
        <w:rPr>
          <w:rFonts w:ascii="Cambria Math" w:hAnsi="Cambria Math" w:cs="Cambria Math"/>
          <w:sz w:val="23"/>
          <w:szCs w:val="23"/>
        </w:rPr>
        <w:t xml:space="preserve">𝑚𝑒𝑎𝑛𝑜𝑓 𝑥̅ = 72 </w:t>
      </w:r>
      <w:r>
        <w:rPr>
          <w:sz w:val="23"/>
          <w:szCs w:val="23"/>
        </w:rPr>
        <w:t xml:space="preserve">and a variance of </w:t>
      </w:r>
      <w:r>
        <w:rPr>
          <w:rFonts w:ascii="Cambria Math" w:hAnsi="Cambria Math" w:cs="Cambria Math"/>
          <w:sz w:val="23"/>
          <w:szCs w:val="23"/>
        </w:rPr>
        <w:t>𝑠</w:t>
      </w:r>
      <w:r>
        <w:rPr>
          <w:rFonts w:ascii="Cambria Math" w:hAnsi="Cambria Math" w:cs="Cambria Math"/>
          <w:sz w:val="17"/>
          <w:szCs w:val="17"/>
        </w:rPr>
        <w:t>2</w:t>
      </w:r>
      <w:r>
        <w:rPr>
          <w:rFonts w:ascii="Cambria Math" w:hAnsi="Cambria Math" w:cs="Cambria Math"/>
          <w:sz w:val="23"/>
          <w:szCs w:val="23"/>
        </w:rPr>
        <w:t xml:space="preserve">= 16 </w:t>
      </w:r>
      <w:r>
        <w:rPr>
          <w:sz w:val="23"/>
          <w:szCs w:val="23"/>
        </w:rPr>
        <w:t xml:space="preserve">for scores on a college placement test in mathematics. Assuming the scores to be normally distributed, construct a 98% confidence interval for </w:t>
      </w:r>
      <w:r>
        <w:rPr>
          <w:rFonts w:ascii="Cambria Math" w:hAnsi="Cambria Math" w:cs="Cambria Math"/>
          <w:sz w:val="23"/>
          <w:szCs w:val="23"/>
        </w:rPr>
        <w:t>𝜎</w:t>
      </w:r>
      <w:r>
        <w:rPr>
          <w:rFonts w:ascii="Cambria Math" w:hAnsi="Cambria Math" w:cs="Cambria Math"/>
          <w:sz w:val="17"/>
          <w:szCs w:val="17"/>
        </w:rPr>
        <w:t>2</w:t>
      </w:r>
      <w:r>
        <w:rPr>
          <w:sz w:val="23"/>
          <w:szCs w:val="23"/>
        </w:rPr>
        <w:t>.</w:t>
      </w:r>
    </w:p>
    <w:p w:rsidR="00930E39" w:rsidRDefault="00930E39" w:rsidP="00930E39">
      <w:pPr>
        <w:rPr>
          <w:rFonts w:eastAsiaTheme="minorEastAsia"/>
          <w:rtl/>
        </w:rPr>
      </w:pPr>
      <w:r>
        <w:rPr>
          <w:noProof/>
        </w:rPr>
        <w:drawing>
          <wp:inline distT="0" distB="0" distL="0" distR="0">
            <wp:extent cx="5486400" cy="1375089"/>
            <wp:effectExtent l="0" t="0" r="0" b="0"/>
            <wp:docPr id="5" name="Picture 5" descr="https://d2nchlq0f2u6vy.cloudfront.net/19/02/27/01a208cc9da1ccc08bf6de1a0e8ab0fd/1ad9ce670d0cb69c17b29c38cef0c78c/lateximg_large.png?tcb=16033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nchlq0f2u6vy.cloudfront.net/19/02/27/01a208cc9da1ccc08bf6de1a0e8ab0fd/1ad9ce670d0cb69c17b29c38cef0c78c/lateximg_large.png?tcb=1603316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573115"/>
            <wp:effectExtent l="0" t="0" r="0" b="0"/>
            <wp:docPr id="6" name="Picture 6" descr="https://d2nchlq0f2u6vy.cloudfront.net/19/02/27/01a208cc9da1ccc08bf6de1a0e8ab0fd/0648d03e9d106f2fe6e7d6a424bdecd0/lateximg_large.png?tcb=16033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nchlq0f2u6vy.cloudfront.net/19/02/27/01a208cc9da1ccc08bf6de1a0e8ab0fd/0648d03e9d106f2fe6e7d6a424bdecd0/lateximg_large.png?tcb=1603316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88901" cy="1804946"/>
            <wp:effectExtent l="0" t="0" r="0" b="5080"/>
            <wp:docPr id="7" name="Picture 7" descr="https://d2nchlq0f2u6vy.cloudfront.net/19/02/27/01a208cc9da1ccc08bf6de1a0e8ab0fd/68d203ba9a30c5b2ab196c2465ce5a0e/lateximg_large.png?tcb=16033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nchlq0f2u6vy.cloudfront.net/19/02/27/01a208cc9da1ccc08bf6de1a0e8ab0fd/68d203ba9a30c5b2ab196c2465ce5a0e/lateximg_large.png?tcb=1603316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78" cy="182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529506"/>
            <wp:effectExtent l="0" t="0" r="0" b="0"/>
            <wp:docPr id="8" name="Picture 8" descr="https://d2nchlq0f2u6vy.cloudfront.net/19/02/27/01a208cc9da1ccc08bf6de1a0e8ab0fd/02ecf4448a93d408c2e836d90643396f/lateximg_large.png?tcb=16033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nchlq0f2u6vy.cloudfront.net/19/02/27/01a208cc9da1ccc08bf6de1a0e8ab0fd/02ecf4448a93d408c2e836d90643396f/lateximg_large.png?tcb=16033167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052897"/>
            <wp:effectExtent l="0" t="0" r="0" b="5080"/>
            <wp:docPr id="9" name="Picture 9" descr="https://d2nchlq0f2u6vy.cloudfront.net/19/02/27/01a208cc9da1ccc08bf6de1a0e8ab0fd/faeb6983884c9fa73ac2a2790193f183/lateximg_large.png?tcb=16033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nchlq0f2u6vy.cloudfront.net/19/02/27/01a208cc9da1ccc08bf6de1a0e8ab0fd/faeb6983884c9fa73ac2a2790193f183/lateximg_large.png?tcb=16033167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8A" w:rsidRPr="001002DC" w:rsidRDefault="00E4688A" w:rsidP="00930E39">
      <w:pPr>
        <w:rPr>
          <w:rFonts w:eastAsiaTheme="minorEastAsia"/>
        </w:rPr>
      </w:pPr>
      <w:bookmarkStart w:id="0" w:name="_GoBack"/>
      <w:bookmarkEnd w:id="0"/>
    </w:p>
    <w:sectPr w:rsidR="00E4688A" w:rsidRPr="00100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4"/>
    <w:rsid w:val="00061E9F"/>
    <w:rsid w:val="001002DC"/>
    <w:rsid w:val="001078C6"/>
    <w:rsid w:val="002954C0"/>
    <w:rsid w:val="006C0A2D"/>
    <w:rsid w:val="00836304"/>
    <w:rsid w:val="0089484B"/>
    <w:rsid w:val="008B7F55"/>
    <w:rsid w:val="00930E39"/>
    <w:rsid w:val="00B928CF"/>
    <w:rsid w:val="00C622A8"/>
    <w:rsid w:val="00DE25A7"/>
    <w:rsid w:val="00E4688A"/>
    <w:rsid w:val="00F15F50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8460"/>
  <w15:chartTrackingRefBased/>
  <w15:docId w15:val="{D563EE4F-1048-4773-9C4A-43B967CD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0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Munirah Khalid Alothman</dc:creator>
  <cp:keywords/>
  <dc:description/>
  <cp:lastModifiedBy>Munirah Khalid Alothman</cp:lastModifiedBy>
  <cp:revision>6</cp:revision>
  <dcterms:created xsi:type="dcterms:W3CDTF">2020-10-14T19:06:00Z</dcterms:created>
  <dcterms:modified xsi:type="dcterms:W3CDTF">2020-10-21T22:17:00Z</dcterms:modified>
</cp:coreProperties>
</file>