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50" w:rsidRDefault="00145C98" w:rsidP="00145C98">
      <w:pPr>
        <w:jc w:val="center"/>
      </w:pPr>
      <w:r>
        <w:t>Bradford protein assay</w:t>
      </w:r>
    </w:p>
    <w:p w:rsidR="00145C98" w:rsidRDefault="00145C98" w:rsidP="00145C98">
      <w:pPr>
        <w:jc w:val="center"/>
        <w:rPr>
          <w:rFonts w:hint="cs"/>
        </w:rPr>
      </w:pPr>
    </w:p>
    <w:p w:rsidR="00145C98" w:rsidRDefault="00145C98" w:rsidP="00145C98">
      <w:pPr>
        <w:bidi w:val="0"/>
      </w:pPr>
      <w:r>
        <w:t>Bradford reagent:</w:t>
      </w:r>
    </w:p>
    <w:p w:rsidR="00145C98" w:rsidRDefault="00145C98" w:rsidP="00145C98">
      <w:pPr>
        <w:tabs>
          <w:tab w:val="left" w:pos="6315"/>
          <w:tab w:val="left" w:pos="6508"/>
        </w:tabs>
        <w:jc w:val="right"/>
        <w:rPr>
          <w:rtl/>
        </w:rPr>
      </w:pPr>
      <w:r>
        <w:t xml:space="preserve">Dissolve 100 mg </w:t>
      </w:r>
      <w:proofErr w:type="spellStart"/>
      <w:r>
        <w:t>coomassie</w:t>
      </w:r>
      <w:proofErr w:type="spellEnd"/>
      <w:r>
        <w:t xml:space="preserve"> brilliant blue – G250  in 50 ml of 95% ethanol, add  100 ml  of 85 % w/v phosphoric acid then diluted by adding dis.H</w:t>
      </w:r>
      <w:r w:rsidRPr="00641C1B">
        <w:rPr>
          <w:vertAlign w:val="subscript"/>
        </w:rPr>
        <w:t>2</w:t>
      </w:r>
      <w:r>
        <w:t>O to complete the volume to 1 L.</w:t>
      </w:r>
    </w:p>
    <w:p w:rsidR="00145C98" w:rsidRDefault="00145C98" w:rsidP="00145C98">
      <w:pPr>
        <w:tabs>
          <w:tab w:val="left" w:pos="6315"/>
          <w:tab w:val="left" w:pos="6508"/>
        </w:tabs>
        <w:jc w:val="right"/>
      </w:pPr>
      <w:r>
        <w:t>(keep in dark bottle).</w:t>
      </w:r>
    </w:p>
    <w:p w:rsidR="00145C98" w:rsidRDefault="00145C98" w:rsidP="00145C98">
      <w:pPr>
        <w:bidi w:val="0"/>
      </w:pPr>
      <w:r>
        <w:t xml:space="preserve">After the dye has completely dissolved,  filter through </w:t>
      </w:r>
      <w:proofErr w:type="spellStart"/>
      <w:r>
        <w:t>what</w:t>
      </w:r>
      <w:bookmarkStart w:id="0" w:name="_GoBack"/>
      <w:bookmarkEnd w:id="0"/>
      <w:r>
        <w:t>man</w:t>
      </w:r>
      <w:proofErr w:type="spellEnd"/>
      <w:r>
        <w:t xml:space="preserve"> #1 filter  paper just before use. The reagent should be light brown .Filtration  may have to be repeated to get rid of all blue components.</w:t>
      </w:r>
    </w:p>
    <w:p w:rsidR="00145C98" w:rsidRDefault="00145C98" w:rsidP="00145C98">
      <w:pPr>
        <w:bidi w:val="0"/>
      </w:pPr>
    </w:p>
    <w:p w:rsidR="00145C98" w:rsidRDefault="00145C98" w:rsidP="00145C98">
      <w:pPr>
        <w:bidi w:val="0"/>
      </w:pPr>
      <w:r>
        <w:t>Preparation of bovine serum albumin protein assay standard:</w:t>
      </w:r>
    </w:p>
    <w:p w:rsidR="00145C98" w:rsidRDefault="00145C98" w:rsidP="00145C98">
      <w:pPr>
        <w:bidi w:val="0"/>
      </w:pPr>
      <w:r>
        <w:t>Warm up the spectrophotometer for 15 min. before use.</w:t>
      </w:r>
    </w:p>
    <w:p w:rsidR="00145C98" w:rsidRDefault="00145C98" w:rsidP="00145C98">
      <w:pPr>
        <w:pStyle w:val="a3"/>
        <w:numPr>
          <w:ilvl w:val="0"/>
          <w:numId w:val="1"/>
        </w:numPr>
        <w:bidi w:val="0"/>
      </w:pPr>
      <w:r>
        <w:t>Prepare a 5-fold dilution of a 1 mg/ml BSA (</w:t>
      </w:r>
      <w:r w:rsidR="00A335ED">
        <w:t>extension</w:t>
      </w:r>
      <w:r>
        <w:t xml:space="preserve"> coefficient of BSA is 0.667) sample by adding 200 </w:t>
      </w:r>
      <w:r>
        <w:rPr>
          <w:rFonts w:ascii="Arial" w:hAnsi="Arial" w:cs="Arial"/>
        </w:rPr>
        <w:t>µ</w:t>
      </w:r>
      <w:r>
        <w:t xml:space="preserve">l of 1 mg/ml </w:t>
      </w:r>
      <w:r w:rsidR="00904760">
        <w:t xml:space="preserve">BSA to 800 </w:t>
      </w:r>
      <w:r w:rsidR="00904760">
        <w:rPr>
          <w:rFonts w:ascii="Arial" w:hAnsi="Arial" w:cs="Arial"/>
        </w:rPr>
        <w:t>µ</w:t>
      </w:r>
      <w:r w:rsidR="00904760">
        <w:t xml:space="preserve">l of distilled water to make 200 </w:t>
      </w:r>
      <w:r w:rsidR="00904760">
        <w:rPr>
          <w:rFonts w:ascii="Arial" w:hAnsi="Arial" w:cs="Arial"/>
        </w:rPr>
        <w:t>µ</w:t>
      </w:r>
      <w:r w:rsidR="00904760">
        <w:t>g/ml BSA.</w:t>
      </w:r>
    </w:p>
    <w:p w:rsidR="00904760" w:rsidRDefault="00904760" w:rsidP="00904760">
      <w:pPr>
        <w:pStyle w:val="a3"/>
        <w:numPr>
          <w:ilvl w:val="0"/>
          <w:numId w:val="1"/>
        </w:numPr>
        <w:bidi w:val="0"/>
      </w:pPr>
      <w:r>
        <w:t xml:space="preserve">Generate test sample for the reference cell, blank, BSA standards and the protein sample to be tested </w:t>
      </w:r>
      <w:r w:rsidR="00A335ED">
        <w:t>according</w:t>
      </w:r>
      <w:r>
        <w:t xml:space="preserve"> to Table 1</w:t>
      </w:r>
      <w:r w:rsidR="00A32B03">
        <w:t xml:space="preserve"> in disposable cuvettes.</w:t>
      </w:r>
    </w:p>
    <w:p w:rsidR="00A32B03" w:rsidRDefault="00A32B03" w:rsidP="00A32B03">
      <w:pPr>
        <w:pStyle w:val="a3"/>
        <w:numPr>
          <w:ilvl w:val="0"/>
          <w:numId w:val="1"/>
        </w:numPr>
        <w:bidi w:val="0"/>
      </w:pPr>
      <w:r>
        <w:t xml:space="preserve">Note that </w:t>
      </w:r>
      <w:r w:rsidR="00A335ED">
        <w:t>a dilution</w:t>
      </w:r>
      <w:r>
        <w:t xml:space="preserve"> of the unknown protein sample may be required for the resulting absorbance to</w:t>
      </w:r>
      <w:r w:rsidR="00A335ED">
        <w:t xml:space="preserve"> </w:t>
      </w:r>
      <w:r>
        <w:t>fall within the linear range of the assay.</w:t>
      </w:r>
    </w:p>
    <w:p w:rsidR="00A32B03" w:rsidRDefault="00A32B03" w:rsidP="00A32B03">
      <w:pPr>
        <w:pStyle w:val="a3"/>
        <w:numPr>
          <w:ilvl w:val="0"/>
          <w:numId w:val="1"/>
        </w:numPr>
        <w:bidi w:val="0"/>
      </w:pPr>
      <w:r>
        <w:t>Allow each sample to incubate at room temperature for 5 minutes.</w:t>
      </w:r>
    </w:p>
    <w:p w:rsidR="00A32B03" w:rsidRDefault="00A335ED" w:rsidP="00A32B03">
      <w:pPr>
        <w:pStyle w:val="a3"/>
        <w:numPr>
          <w:ilvl w:val="0"/>
          <w:numId w:val="1"/>
        </w:numPr>
        <w:bidi w:val="0"/>
      </w:pPr>
      <w:r>
        <w:t>Measure</w:t>
      </w:r>
      <w:r w:rsidR="00A32B03">
        <w:t xml:space="preserve"> the absorbance of each sample at 595 nm.</w:t>
      </w:r>
    </w:p>
    <w:p w:rsidR="00A32B03" w:rsidRDefault="00A32B03" w:rsidP="00A32B03">
      <w:pPr>
        <w:pStyle w:val="a3"/>
        <w:numPr>
          <w:ilvl w:val="0"/>
          <w:numId w:val="1"/>
        </w:numPr>
        <w:bidi w:val="0"/>
      </w:pPr>
      <w:r>
        <w:t xml:space="preserve">Use </w:t>
      </w:r>
      <w:r w:rsidR="00A335ED">
        <w:t xml:space="preserve">excel to plot the </w:t>
      </w:r>
      <w:r>
        <w:t>absorbance of each BSA standard as a function of its theoretical concentration. Determine the best fit of the data to a straight line in the form of the equation "y=m</w:t>
      </w:r>
      <w:r w:rsidR="00A335ED">
        <w:t xml:space="preserve"> </w:t>
      </w:r>
      <w:r>
        <w:t>X</w:t>
      </w:r>
      <w:r w:rsidR="00A335ED">
        <w:t xml:space="preserve"> </w:t>
      </w:r>
      <w:r>
        <w:t xml:space="preserve">+b" , where y= </w:t>
      </w:r>
      <w:r w:rsidR="00A335ED">
        <w:t>absorbance</w:t>
      </w:r>
      <w:r>
        <w:t xml:space="preserve"> at 595 nm and X = protein concentration.</w:t>
      </w:r>
    </w:p>
    <w:p w:rsidR="00A32B03" w:rsidRDefault="00A32B03" w:rsidP="00A32B03">
      <w:pPr>
        <w:pStyle w:val="a3"/>
        <w:numPr>
          <w:ilvl w:val="0"/>
          <w:numId w:val="1"/>
        </w:numPr>
        <w:bidi w:val="0"/>
      </w:pPr>
      <w:r>
        <w:t>Use this equation to calculate the concentration of the protein sample based on the measured absorbance. The linear range for the assay is 0.2 -</w:t>
      </w:r>
      <w:r w:rsidR="00A335ED">
        <w:t>0.8 O.D. units).</w:t>
      </w:r>
    </w:p>
    <w:p w:rsidR="00A335ED" w:rsidRDefault="00A335ED" w:rsidP="00A335ED">
      <w:pPr>
        <w:bidi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 xml:space="preserve">Number 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(</w:t>
            </w:r>
            <w:r>
              <w:rPr>
                <w:rFonts w:ascii="Arial" w:hAnsi="Arial" w:cs="Arial"/>
              </w:rPr>
              <w:t>µ</w:t>
            </w:r>
            <w:r>
              <w:t>l)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Water (</w:t>
            </w:r>
            <w:r>
              <w:rPr>
                <w:rFonts w:ascii="Arial" w:hAnsi="Arial" w:cs="Arial"/>
              </w:rPr>
              <w:t>µ</w:t>
            </w:r>
            <w:r>
              <w:t>l)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 xml:space="preserve">Bradford reagent </w:t>
            </w:r>
            <w:r>
              <w:t>(</w:t>
            </w:r>
            <w:r>
              <w:rPr>
                <w:rFonts w:ascii="Arial" w:hAnsi="Arial" w:cs="Arial"/>
              </w:rPr>
              <w:t>µ</w:t>
            </w:r>
            <w:r>
              <w:t>l)</w:t>
            </w:r>
          </w:p>
        </w:tc>
      </w:tr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 xml:space="preserve">Blank 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200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800</w:t>
            </w:r>
          </w:p>
        </w:tc>
      </w:tr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 xml:space="preserve">BSA standard (4 </w:t>
            </w:r>
            <w:r>
              <w:rPr>
                <w:rFonts w:ascii="Arial" w:hAnsi="Arial" w:cs="Arial"/>
              </w:rPr>
              <w:t>µ</w:t>
            </w:r>
            <w:r>
              <w:t xml:space="preserve">g/ml) 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20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180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800</w:t>
            </w:r>
          </w:p>
        </w:tc>
      </w:tr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>BSA standard (</w:t>
            </w:r>
            <w:r>
              <w:t>8</w:t>
            </w:r>
            <w: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t>g/ml)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40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160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800</w:t>
            </w:r>
          </w:p>
        </w:tc>
      </w:tr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>BSA standard (</w:t>
            </w:r>
            <w:r>
              <w:t>12</w:t>
            </w:r>
            <w: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t>g/ml)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60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140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800</w:t>
            </w:r>
          </w:p>
        </w:tc>
      </w:tr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>BSA standard (</w:t>
            </w:r>
            <w:r>
              <w:t>16</w:t>
            </w:r>
            <w:r>
              <w:rPr>
                <w:rFonts w:ascii="Arial" w:hAnsi="Arial" w:cs="Arial"/>
              </w:rPr>
              <w:t>µ</w:t>
            </w:r>
            <w:r>
              <w:t>g/ml)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80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120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800</w:t>
            </w:r>
          </w:p>
        </w:tc>
      </w:tr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>BSA standard (</w:t>
            </w:r>
            <w:r>
              <w:t>20</w:t>
            </w:r>
            <w: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t>g/ml)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100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100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800</w:t>
            </w:r>
          </w:p>
        </w:tc>
      </w:tr>
      <w:tr w:rsidR="00A335ED" w:rsidTr="00A335ED">
        <w:tc>
          <w:tcPr>
            <w:tcW w:w="2660" w:type="dxa"/>
          </w:tcPr>
          <w:p w:rsidR="00A335ED" w:rsidRDefault="00A335ED" w:rsidP="00A335ED">
            <w:pPr>
              <w:bidi w:val="0"/>
            </w:pPr>
            <w:r>
              <w:t>Protein sample (unknown)</w:t>
            </w:r>
          </w:p>
        </w:tc>
        <w:tc>
          <w:tcPr>
            <w:tcW w:w="1600" w:type="dxa"/>
          </w:tcPr>
          <w:p w:rsidR="00A335ED" w:rsidRDefault="00A335ED" w:rsidP="00A335ED">
            <w:pPr>
              <w:bidi w:val="0"/>
            </w:pPr>
            <w:r>
              <w:t>100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100</w:t>
            </w:r>
          </w:p>
        </w:tc>
        <w:tc>
          <w:tcPr>
            <w:tcW w:w="2131" w:type="dxa"/>
          </w:tcPr>
          <w:p w:rsidR="00A335ED" w:rsidRDefault="00A335ED" w:rsidP="00A335ED">
            <w:pPr>
              <w:bidi w:val="0"/>
            </w:pPr>
            <w:r>
              <w:t>800</w:t>
            </w:r>
          </w:p>
        </w:tc>
      </w:tr>
    </w:tbl>
    <w:p w:rsidR="00A335ED" w:rsidRDefault="00A335ED" w:rsidP="00A335ED">
      <w:pPr>
        <w:bidi w:val="0"/>
      </w:pPr>
    </w:p>
    <w:sectPr w:rsidR="00A335ED" w:rsidSect="007401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5154"/>
    <w:multiLevelType w:val="hybridMultilevel"/>
    <w:tmpl w:val="E1C26178"/>
    <w:lvl w:ilvl="0" w:tplc="B640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98"/>
    <w:rsid w:val="00145C98"/>
    <w:rsid w:val="001A5A73"/>
    <w:rsid w:val="007401FC"/>
    <w:rsid w:val="00904760"/>
    <w:rsid w:val="00A32B03"/>
    <w:rsid w:val="00A335ED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98"/>
    <w:pPr>
      <w:ind w:left="720"/>
      <w:contextualSpacing/>
    </w:pPr>
  </w:style>
  <w:style w:type="table" w:styleId="a4">
    <w:name w:val="Table Grid"/>
    <w:basedOn w:val="a1"/>
    <w:uiPriority w:val="59"/>
    <w:rsid w:val="00A3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98"/>
    <w:pPr>
      <w:ind w:left="720"/>
      <w:contextualSpacing/>
    </w:pPr>
  </w:style>
  <w:style w:type="table" w:styleId="a4">
    <w:name w:val="Table Grid"/>
    <w:basedOn w:val="a1"/>
    <w:uiPriority w:val="59"/>
    <w:rsid w:val="00A3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dcterms:created xsi:type="dcterms:W3CDTF">2016-01-29T18:18:00Z</dcterms:created>
  <dcterms:modified xsi:type="dcterms:W3CDTF">2016-01-30T06:51:00Z</dcterms:modified>
</cp:coreProperties>
</file>