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A" w:rsidRPr="00B84545" w:rsidRDefault="005130BA" w:rsidP="005130BA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مقرر</w:t>
      </w:r>
      <w:r>
        <w:rPr>
          <w:rFonts w:cs="FS_Future" w:hint="cs"/>
          <w:b/>
          <w:bCs/>
          <w:sz w:val="44"/>
          <w:szCs w:val="44"/>
          <w:rtl/>
        </w:rPr>
        <w:t xml:space="preserve"> مصادر التراث العربي</w:t>
      </w:r>
    </w:p>
    <w:p w:rsidR="005130BA" w:rsidRPr="00B84545" w:rsidRDefault="005130BA" w:rsidP="005130BA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>
        <w:rPr>
          <w:rFonts w:cs="FS_Future" w:hint="cs"/>
          <w:b/>
          <w:bCs/>
          <w:sz w:val="44"/>
          <w:szCs w:val="44"/>
          <w:rtl/>
        </w:rPr>
        <w:t xml:space="preserve">187 </w:t>
      </w:r>
      <w:proofErr w:type="spellStart"/>
      <w:r>
        <w:rPr>
          <w:rFonts w:cs="FS_Future" w:hint="cs"/>
          <w:b/>
          <w:bCs/>
          <w:sz w:val="44"/>
          <w:szCs w:val="44"/>
          <w:rtl/>
        </w:rPr>
        <w:t>مكت</w:t>
      </w:r>
      <w:proofErr w:type="spellEnd"/>
    </w:p>
    <w:p w:rsidR="005130BA" w:rsidRDefault="005130BA" w:rsidP="005130BA">
      <w:pPr>
        <w:bidi/>
        <w:jc w:val="both"/>
        <w:rPr>
          <w:rFonts w:cs="Simplified Arabic"/>
          <w:sz w:val="28"/>
          <w:szCs w:val="28"/>
          <w:rtl/>
        </w:rPr>
      </w:pPr>
    </w:p>
    <w:p w:rsidR="005130BA" w:rsidRDefault="005130BA" w:rsidP="005130BA">
      <w:pPr>
        <w:bidi/>
        <w:jc w:val="both"/>
        <w:rPr>
          <w:rFonts w:cs="Simplified Arabic"/>
          <w:sz w:val="28"/>
          <w:szCs w:val="28"/>
          <w:rtl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130BA" w:rsidTr="005130BA">
        <w:tc>
          <w:tcPr>
            <w:tcW w:w="2130" w:type="dxa"/>
          </w:tcPr>
          <w:p w:rsidR="005130BA" w:rsidRPr="005130BA" w:rsidRDefault="005130BA" w:rsidP="005130BA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2130" w:type="dxa"/>
          </w:tcPr>
          <w:p w:rsidR="005130BA" w:rsidRPr="005130BA" w:rsidRDefault="00CE2E92" w:rsidP="005130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المحاضرات أ</w:t>
            </w:r>
            <w:r w:rsidR="005130BA" w:rsidRPr="005130BA">
              <w:rPr>
                <w:rFonts w:hint="cs"/>
                <w:b/>
                <w:bCs/>
                <w:sz w:val="28"/>
                <w:szCs w:val="28"/>
                <w:rtl/>
              </w:rPr>
              <w:t>سبوعيا</w:t>
            </w:r>
          </w:p>
        </w:tc>
        <w:tc>
          <w:tcPr>
            <w:tcW w:w="2131" w:type="dxa"/>
          </w:tcPr>
          <w:p w:rsidR="005130BA" w:rsidRPr="005130BA" w:rsidRDefault="005130BA" w:rsidP="005130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130BA"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131" w:type="dxa"/>
          </w:tcPr>
          <w:p w:rsidR="005130BA" w:rsidRPr="005130BA" w:rsidRDefault="005130BA" w:rsidP="005130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130BA">
              <w:rPr>
                <w:rFonts w:hint="cs"/>
                <w:b/>
                <w:bCs/>
                <w:sz w:val="28"/>
                <w:szCs w:val="28"/>
                <w:rtl/>
              </w:rPr>
              <w:t>اسم المقرر ورمز</w:t>
            </w:r>
            <w:r w:rsidRPr="005130BA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</w:p>
        </w:tc>
      </w:tr>
      <w:tr w:rsidR="005130BA" w:rsidTr="005130BA">
        <w:tc>
          <w:tcPr>
            <w:tcW w:w="2130" w:type="dxa"/>
          </w:tcPr>
          <w:p w:rsidR="005130BA" w:rsidRDefault="00CE2E92" w:rsidP="005130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سارة عبد العزيز المحارب</w:t>
            </w:r>
          </w:p>
        </w:tc>
        <w:tc>
          <w:tcPr>
            <w:tcW w:w="2130" w:type="dxa"/>
          </w:tcPr>
          <w:p w:rsidR="005130BA" w:rsidRDefault="005130BA" w:rsidP="005130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5130BA" w:rsidRDefault="005130BA" w:rsidP="005130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1" w:type="dxa"/>
          </w:tcPr>
          <w:p w:rsidR="005130BA" w:rsidRDefault="005130BA" w:rsidP="005130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مصادر التراث العربي</w:t>
            </w:r>
          </w:p>
          <w:p w:rsidR="005130BA" w:rsidRDefault="005130BA" w:rsidP="005130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(187مكت)</w:t>
            </w:r>
          </w:p>
        </w:tc>
      </w:tr>
    </w:tbl>
    <w:p w:rsidR="005130BA" w:rsidRDefault="005130BA" w:rsidP="005130BA">
      <w:pPr>
        <w:jc w:val="lowKashida"/>
        <w:rPr>
          <w:rtl/>
        </w:rPr>
      </w:pPr>
    </w:p>
    <w:p w:rsidR="005130BA" w:rsidRPr="000B4BB1" w:rsidRDefault="005130BA" w:rsidP="000B4BB1">
      <w:pPr>
        <w:jc w:val="right"/>
        <w:rPr>
          <w:b/>
          <w:bCs/>
        </w:rPr>
      </w:pPr>
      <w:r w:rsidRPr="005130BA">
        <w:rPr>
          <w:rFonts w:hint="cs"/>
          <w:b/>
          <w:bCs/>
          <w:rtl/>
          <w:lang w:bidi="fa-IR"/>
        </w:rPr>
        <w:t>-</w:t>
      </w:r>
      <w:r w:rsidRPr="005130BA">
        <w:rPr>
          <w:rFonts w:hint="cs"/>
          <w:b/>
          <w:bCs/>
          <w:rtl/>
          <w:lang w:bidi="ar-EG"/>
        </w:rPr>
        <w:t>أهداف عامة للمقرر</w:t>
      </w:r>
      <w:r>
        <w:rPr>
          <w:rFonts w:hint="cs"/>
          <w:b/>
          <w:bCs/>
          <w:rtl/>
          <w:lang w:bidi="ar-EG"/>
        </w:rPr>
        <w:t>:</w:t>
      </w:r>
    </w:p>
    <w:p w:rsidR="005130BA" w:rsidRPr="00B91AA4" w:rsidRDefault="000B4BB1" w:rsidP="005130BA">
      <w:pPr>
        <w:numPr>
          <w:ilvl w:val="0"/>
          <w:numId w:val="2"/>
        </w:numPr>
        <w:bidi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1- </w:t>
      </w:r>
      <w:r w:rsidR="005130BA" w:rsidRPr="00B91AA4">
        <w:rPr>
          <w:rFonts w:asciiTheme="majorBidi" w:eastAsiaTheme="minorEastAsia" w:hAnsiTheme="majorBidi" w:cstheme="majorBidi" w:hint="cs"/>
          <w:sz w:val="28"/>
          <w:szCs w:val="28"/>
          <w:rtl/>
        </w:rPr>
        <w:t>تمكين الطالب من الإحاطة بالمصادر الرئيسية لعلوم العربية المختلفة ومعرفة ما فيها بإيجاز ودقة .</w:t>
      </w:r>
    </w:p>
    <w:p w:rsidR="005130BA" w:rsidRPr="00B91AA4" w:rsidRDefault="000B4BB1" w:rsidP="005130BA">
      <w:pPr>
        <w:numPr>
          <w:ilvl w:val="0"/>
          <w:numId w:val="2"/>
        </w:numPr>
        <w:bidi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2- </w:t>
      </w:r>
      <w:r w:rsidR="005130BA" w:rsidRPr="00B91AA4">
        <w:rPr>
          <w:rFonts w:asciiTheme="majorBidi" w:eastAsiaTheme="minorEastAsia" w:hAnsiTheme="majorBidi" w:cstheme="majorBidi" w:hint="cs"/>
          <w:sz w:val="28"/>
          <w:szCs w:val="28"/>
          <w:rtl/>
        </w:rPr>
        <w:t>دلالة الطالب على المراجع والمصادر الهامة التي هو بحاجة إليها لاستكمال أدوات بحثه .</w:t>
      </w:r>
    </w:p>
    <w:p w:rsidR="005130BA" w:rsidRPr="00B91AA4" w:rsidRDefault="000B4BB1" w:rsidP="005130BA">
      <w:pPr>
        <w:numPr>
          <w:ilvl w:val="0"/>
          <w:numId w:val="2"/>
        </w:numPr>
        <w:bidi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3- </w:t>
      </w:r>
      <w:r w:rsidR="005130BA" w:rsidRPr="00B91AA4">
        <w:rPr>
          <w:rFonts w:asciiTheme="majorBidi" w:eastAsiaTheme="minorEastAsia" w:hAnsiTheme="majorBidi" w:cstheme="majorBidi" w:hint="cs"/>
          <w:sz w:val="28"/>
          <w:szCs w:val="28"/>
          <w:rtl/>
        </w:rPr>
        <w:t>تمكين الطالب من طرائق الرجوع إلى المراجع والمصادر والاستفادة منها ، فمعرفة هذه الكتب شيء ومعرفة طرق الاستفادة منها شيء آخر ، ولا يمكن معرفة ذلك إلا بمعرفة مضمون هذه الكتب ولو إجمالاً .</w:t>
      </w:r>
    </w:p>
    <w:p w:rsidR="005130BA" w:rsidRPr="00B91AA4" w:rsidRDefault="000B4BB1" w:rsidP="005130BA">
      <w:pPr>
        <w:numPr>
          <w:ilvl w:val="0"/>
          <w:numId w:val="2"/>
        </w:numPr>
        <w:bidi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4- </w:t>
      </w:r>
      <w:r w:rsidR="005130BA" w:rsidRPr="00B91AA4">
        <w:rPr>
          <w:rFonts w:asciiTheme="majorBidi" w:eastAsiaTheme="minorEastAsia" w:hAnsiTheme="majorBidi" w:cstheme="majorBidi" w:hint="cs"/>
          <w:sz w:val="28"/>
          <w:szCs w:val="28"/>
          <w:rtl/>
        </w:rPr>
        <w:t>تعميق خبرة الطالب في المصادر والمراجع ليستطيع الإفادة منها بنفسه ومن دون كبير مشقة .</w:t>
      </w:r>
    </w:p>
    <w:p w:rsidR="005130BA" w:rsidRPr="00B91AA4" w:rsidRDefault="000B4BB1" w:rsidP="005130BA">
      <w:pPr>
        <w:numPr>
          <w:ilvl w:val="0"/>
          <w:numId w:val="2"/>
        </w:numPr>
        <w:bidi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5- </w:t>
      </w:r>
      <w:r w:rsidR="005130BA" w:rsidRPr="00B91AA4">
        <w:rPr>
          <w:rFonts w:asciiTheme="majorBidi" w:eastAsiaTheme="minorEastAsia" w:hAnsiTheme="majorBidi" w:cstheme="majorBidi" w:hint="cs"/>
          <w:sz w:val="28"/>
          <w:szCs w:val="28"/>
          <w:rtl/>
        </w:rPr>
        <w:t>تكوين فكرة واضحة لدى الطالب عن بعض نواحي النشاط الفكري عن العرب حتى فجر النهضة الحديثة .</w:t>
      </w:r>
    </w:p>
    <w:p w:rsidR="005130BA" w:rsidRDefault="000B4BB1" w:rsidP="005130BA">
      <w:pPr>
        <w:numPr>
          <w:ilvl w:val="0"/>
          <w:numId w:val="2"/>
        </w:numPr>
        <w:bidi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6- </w:t>
      </w:r>
      <w:r w:rsidR="005130BA" w:rsidRPr="00B91AA4">
        <w:rPr>
          <w:rFonts w:asciiTheme="majorBidi" w:eastAsiaTheme="minorEastAsia" w:hAnsiTheme="majorBidi" w:cstheme="majorBidi" w:hint="cs"/>
          <w:sz w:val="28"/>
          <w:szCs w:val="28"/>
          <w:rtl/>
        </w:rPr>
        <w:t>تعويد الطالب الرجوع إلى المكتبة والمصادر بنفسه ، فيقرأ الكتب باحثاً أو متصفحاً .</w:t>
      </w:r>
    </w:p>
    <w:p w:rsidR="005130BA" w:rsidRPr="00B91AA4" w:rsidRDefault="00CE2E92" w:rsidP="005130BA">
      <w:pPr>
        <w:numPr>
          <w:ilvl w:val="0"/>
          <w:numId w:val="2"/>
        </w:numPr>
        <w:bidi/>
        <w:spacing w:after="240"/>
        <w:ind w:left="1077" w:hanging="425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130BA" w:rsidRDefault="005130BA" w:rsidP="005130BA">
      <w:pPr>
        <w:ind w:firstLine="369"/>
        <w:jc w:val="right"/>
        <w:rPr>
          <w:rFonts w:asciiTheme="majorBidi" w:eastAsia="Calibri" w:hAnsiTheme="majorBidi" w:cstheme="majorBidi"/>
          <w:color w:val="000000"/>
          <w:sz w:val="30"/>
          <w:szCs w:val="30"/>
          <w:rtl/>
        </w:rPr>
      </w:pPr>
      <w:r w:rsidRPr="00B91AA4">
        <w:rPr>
          <w:rFonts w:asciiTheme="majorBidi" w:eastAsia="Calibri" w:hAnsiTheme="majorBidi" w:cstheme="majorBidi" w:hint="cs"/>
          <w:color w:val="000000"/>
          <w:sz w:val="30"/>
          <w:szCs w:val="30"/>
          <w:rtl/>
        </w:rPr>
        <w:t>وصف المقرر :</w:t>
      </w:r>
    </w:p>
    <w:p w:rsidR="00AA5713" w:rsidRPr="00B91AA4" w:rsidRDefault="00AA5713" w:rsidP="005130BA">
      <w:pPr>
        <w:ind w:firstLine="369"/>
        <w:jc w:val="right"/>
        <w:rPr>
          <w:rFonts w:asciiTheme="majorBidi" w:eastAsia="Calibri" w:hAnsiTheme="majorBidi" w:cstheme="majorBidi"/>
          <w:color w:val="000000"/>
          <w:sz w:val="30"/>
          <w:szCs w:val="30"/>
          <w:rtl/>
        </w:rPr>
      </w:pPr>
    </w:p>
    <w:p w:rsidR="005130BA" w:rsidRPr="00B91AA4" w:rsidRDefault="005130BA" w:rsidP="005130BA">
      <w:pPr>
        <w:bidi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ED6A94" w:rsidRPr="00ED6A94" w:rsidRDefault="00C83C2D" w:rsidP="00C83C2D">
      <w:pPr>
        <w:bidi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ED6A94">
        <w:rPr>
          <w:rFonts w:hint="cs"/>
          <w:rtl/>
        </w:rPr>
        <w:t>طرق التدريس والتقييم :</w:t>
      </w:r>
      <w:r w:rsidR="00ED6A94" w:rsidRPr="00ED6A94">
        <w:rPr>
          <w:rFonts w:hint="cs"/>
          <w:b/>
          <w:bCs/>
          <w:color w:val="000080"/>
          <w:rtl/>
        </w:rPr>
        <w:t xml:space="preserve"> </w:t>
      </w:r>
      <w:r w:rsidR="00ED6A94">
        <w:rPr>
          <w:rFonts w:hint="cs"/>
          <w:b/>
          <w:bCs/>
          <w:color w:val="000080"/>
          <w:rtl/>
        </w:rPr>
        <w:t xml:space="preserve"> </w:t>
      </w:r>
    </w:p>
    <w:p w:rsidR="00ED6A94" w:rsidRPr="00C83C2D" w:rsidRDefault="00C83C2D" w:rsidP="00C83C2D">
      <w:pPr>
        <w:bidi/>
        <w:jc w:val="both"/>
      </w:pPr>
      <w:r>
        <w:rPr>
          <w:rFonts w:hint="cs"/>
          <w:rtl/>
        </w:rPr>
        <w:t>1</w:t>
      </w:r>
      <w:r w:rsidR="00ED6A94" w:rsidRPr="00C83C2D">
        <w:rPr>
          <w:rFonts w:hint="cs"/>
          <w:rtl/>
        </w:rPr>
        <w:t xml:space="preserve">ـ المحاضرات </w:t>
      </w:r>
    </w:p>
    <w:p w:rsidR="00C83C2D" w:rsidRDefault="00C83C2D" w:rsidP="00C83C2D">
      <w:pPr>
        <w:bidi/>
        <w:jc w:val="both"/>
        <w:rPr>
          <w:rtl/>
        </w:rPr>
      </w:pPr>
      <w:r>
        <w:rPr>
          <w:rFonts w:hint="cs"/>
          <w:rtl/>
        </w:rPr>
        <w:t xml:space="preserve">2ـ </w:t>
      </w:r>
      <w:r w:rsidR="00ED6A94" w:rsidRPr="00C83C2D">
        <w:rPr>
          <w:rFonts w:hint="cs"/>
          <w:rtl/>
        </w:rPr>
        <w:t xml:space="preserve">جلسات المناقشة وورش عمل للمجموعات : يجب أن يكون التعرف علي المصدر المرجعي عمل الطالب نفسه ولكون حصيلة هذا العمل هو جلسات مناقشة </w:t>
      </w:r>
    </w:p>
    <w:p w:rsidR="00ED6A94" w:rsidRDefault="00ED6A94" w:rsidP="00C83C2D">
      <w:pPr>
        <w:bidi/>
        <w:jc w:val="both"/>
        <w:rPr>
          <w:b/>
          <w:bCs/>
          <w:color w:val="000080"/>
          <w:rtl/>
        </w:rPr>
      </w:pPr>
      <w:r w:rsidRPr="00C83C2D">
        <w:rPr>
          <w:rFonts w:hint="cs"/>
          <w:rtl/>
        </w:rPr>
        <w:t xml:space="preserve"> 3ـ أوراق النشاط</w:t>
      </w:r>
      <w:r>
        <w:rPr>
          <w:rFonts w:hint="cs"/>
          <w:b/>
          <w:bCs/>
          <w:color w:val="000080"/>
          <w:rtl/>
        </w:rPr>
        <w:t xml:space="preserve"> </w:t>
      </w:r>
      <w:r w:rsidRPr="0096115C">
        <w:rPr>
          <w:rFonts w:hint="cs"/>
          <w:b/>
          <w:bCs/>
          <w:color w:val="000080"/>
          <w:rtl/>
        </w:rPr>
        <w:t xml:space="preserve"> </w:t>
      </w:r>
    </w:p>
    <w:p w:rsidR="00C83C2D" w:rsidRPr="0096115C" w:rsidRDefault="00C83C2D" w:rsidP="00C83C2D">
      <w:pPr>
        <w:bidi/>
        <w:jc w:val="both"/>
        <w:rPr>
          <w:rtl/>
        </w:rPr>
      </w:pPr>
    </w:p>
    <w:p w:rsidR="00ED6A94" w:rsidRPr="00C83C2D" w:rsidRDefault="00C83C2D" w:rsidP="00C83C2D">
      <w:pPr>
        <w:jc w:val="right"/>
      </w:pPr>
      <w:r>
        <w:rPr>
          <w:rFonts w:hint="cs"/>
          <w:b/>
          <w:bCs/>
          <w:color w:val="800000"/>
          <w:rtl/>
        </w:rPr>
        <w:t xml:space="preserve"> </w:t>
      </w:r>
      <w:r w:rsidR="00ED6A94" w:rsidRPr="0096115C">
        <w:rPr>
          <w:rFonts w:hint="cs"/>
          <w:b/>
          <w:bCs/>
          <w:color w:val="800000"/>
          <w:rtl/>
        </w:rPr>
        <w:t xml:space="preserve"> </w:t>
      </w:r>
      <w:r w:rsidR="00ED6A94" w:rsidRPr="00C83C2D">
        <w:rPr>
          <w:rFonts w:hint="cs"/>
          <w:b/>
          <w:bCs/>
          <w:rtl/>
        </w:rPr>
        <w:t>طرق تقييم الطال</w:t>
      </w:r>
      <w:r w:rsidRPr="00C83C2D">
        <w:rPr>
          <w:rFonts w:hint="cs"/>
          <w:b/>
          <w:bCs/>
          <w:rtl/>
        </w:rPr>
        <w:t>ب :</w:t>
      </w:r>
    </w:p>
    <w:p w:rsidR="00ED6A94" w:rsidRPr="00C83C2D" w:rsidRDefault="00ED6A94" w:rsidP="00ED6A94">
      <w:pPr>
        <w:jc w:val="right"/>
        <w:rPr>
          <w:rtl/>
        </w:rPr>
      </w:pPr>
      <w:r w:rsidRPr="00C83C2D">
        <w:rPr>
          <w:rFonts w:hint="cs"/>
          <w:rtl/>
          <w:lang w:bidi="fa-IR"/>
        </w:rPr>
        <w:t xml:space="preserve">1ـ الاختبارات               2ـ الأسئلة الصفية                3ـ التكاليف المنزلية     </w:t>
      </w:r>
      <w:r w:rsidRPr="00C83C2D">
        <w:rPr>
          <w:rFonts w:hint="cs"/>
          <w:rtl/>
        </w:rPr>
        <w:t xml:space="preserve">    4ـ التقويم المستمر</w:t>
      </w:r>
      <w:r w:rsidRPr="00C83C2D">
        <w:rPr>
          <w:rFonts w:hint="cs"/>
          <w:rtl/>
          <w:lang w:bidi="fa-IR"/>
        </w:rPr>
        <w:t xml:space="preserve">    </w:t>
      </w:r>
    </w:p>
    <w:p w:rsidR="00ED6A94" w:rsidRPr="00C83C2D" w:rsidRDefault="00ED6A94" w:rsidP="00ED6A94">
      <w:pPr>
        <w:jc w:val="right"/>
        <w:rPr>
          <w:rtl/>
        </w:rPr>
      </w:pPr>
      <w:r w:rsidRPr="0096115C">
        <w:rPr>
          <w:rFonts w:hint="cs"/>
          <w:b/>
          <w:bCs/>
          <w:color w:val="800000"/>
          <w:rtl/>
        </w:rPr>
        <w:t xml:space="preserve"> </w:t>
      </w:r>
    </w:p>
    <w:p w:rsidR="00ED6A94" w:rsidRPr="00C83C2D" w:rsidRDefault="00ED6A94" w:rsidP="00ED6A94">
      <w:pPr>
        <w:jc w:val="right"/>
        <w:rPr>
          <w:b/>
          <w:bCs/>
          <w:rtl/>
        </w:rPr>
      </w:pPr>
      <w:r w:rsidRPr="00C83C2D">
        <w:rPr>
          <w:rFonts w:hint="cs"/>
          <w:b/>
          <w:bCs/>
          <w:rtl/>
        </w:rPr>
        <w:t>مصادر التعلم :</w:t>
      </w:r>
    </w:p>
    <w:p w:rsidR="00ED6A94" w:rsidRPr="00C83C2D" w:rsidRDefault="00ED6A94" w:rsidP="00C83C2D">
      <w:pPr>
        <w:rPr>
          <w:sz w:val="16"/>
          <w:szCs w:val="16"/>
          <w:rtl/>
        </w:rPr>
      </w:pPr>
    </w:p>
    <w:p w:rsidR="00C83C2D" w:rsidRPr="000B176B" w:rsidRDefault="00C83C2D" w:rsidP="00C83C2D">
      <w:pPr>
        <w:bidi/>
        <w:ind w:firstLine="36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1-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الكتاب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الكتب الرئيسة المطلوبة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C83C2D" w:rsidRDefault="00CE2E92" w:rsidP="00C83C2D">
      <w:pPr>
        <w:bidi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     *</w:t>
      </w:r>
      <w:r w:rsidR="00C83C2D">
        <w:rPr>
          <w:rFonts w:ascii="Traditional Arabic" w:hAnsi="Traditional Arabic" w:cs="Traditional Arabic" w:hint="cs"/>
          <w:sz w:val="30"/>
          <w:szCs w:val="30"/>
          <w:rtl/>
        </w:rPr>
        <w:t xml:space="preserve">المكتبة العربية ومنهج البحث للدكتور محمد رضوان </w:t>
      </w:r>
      <w:proofErr w:type="spellStart"/>
      <w:r w:rsidR="00C83C2D">
        <w:rPr>
          <w:rFonts w:ascii="Traditional Arabic" w:hAnsi="Traditional Arabic" w:cs="Traditional Arabic" w:hint="cs"/>
          <w:sz w:val="30"/>
          <w:szCs w:val="30"/>
          <w:rtl/>
        </w:rPr>
        <w:t>الداية</w:t>
      </w:r>
      <w:proofErr w:type="spellEnd"/>
      <w:r w:rsidR="00C83C2D"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</w:p>
    <w:p w:rsidR="000B4BB1" w:rsidRPr="000B4BB1" w:rsidRDefault="000B4BB1" w:rsidP="000B4BB1">
      <w:pPr>
        <w:bidi/>
        <w:jc w:val="both"/>
        <w:rPr>
          <w:rFonts w:ascii="Traditional Arabic" w:hAnsi="Traditional Arabic" w:cs="Traditional Arabic"/>
          <w:rtl/>
        </w:rPr>
      </w:pPr>
    </w:p>
    <w:p w:rsidR="00C83C2D" w:rsidRPr="00CE2E92" w:rsidRDefault="00CE2E92" w:rsidP="00CE2E92">
      <w:pPr>
        <w:pStyle w:val="a4"/>
        <w:numPr>
          <w:ilvl w:val="0"/>
          <w:numId w:val="1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E2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مراجع أخرى</w:t>
      </w:r>
      <w:r w:rsidR="00C83C2D" w:rsidRPr="00CE2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C83C2D" w:rsidRPr="00CE2E9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C83C2D" w:rsidRPr="00CE2E92" w:rsidRDefault="00CE2E92" w:rsidP="00CE2E92">
      <w:pPr>
        <w:pStyle w:val="a4"/>
        <w:bidi/>
        <w:ind w:left="643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*</w:t>
      </w:r>
      <w:r w:rsidR="00C83C2D" w:rsidRPr="00CE2E92">
        <w:rPr>
          <w:rFonts w:ascii="Traditional Arabic" w:hAnsi="Traditional Arabic" w:cs="Traditional Arabic" w:hint="cs"/>
          <w:sz w:val="30"/>
          <w:szCs w:val="30"/>
          <w:rtl/>
        </w:rPr>
        <w:t xml:space="preserve">نظرة تاريخية في حركة التأليف عند العرب ، للدكتور أمجد </w:t>
      </w:r>
      <w:proofErr w:type="spellStart"/>
      <w:r w:rsidR="00C83C2D" w:rsidRPr="00CE2E92">
        <w:rPr>
          <w:rFonts w:ascii="Traditional Arabic" w:hAnsi="Traditional Arabic" w:cs="Traditional Arabic" w:hint="cs"/>
          <w:sz w:val="30"/>
          <w:szCs w:val="30"/>
          <w:rtl/>
        </w:rPr>
        <w:t>الطرابلسي</w:t>
      </w:r>
      <w:proofErr w:type="spellEnd"/>
      <w:r w:rsidR="00C83C2D" w:rsidRPr="00CE2E92"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</w:p>
    <w:p w:rsidR="000B4BB1" w:rsidRDefault="00CE2E92" w:rsidP="00C83C2D">
      <w:pPr>
        <w:jc w:val="right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     *</w:t>
      </w:r>
      <w:r w:rsidR="00C83C2D">
        <w:rPr>
          <w:rFonts w:ascii="Traditional Arabic" w:hAnsi="Traditional Arabic" w:cs="Traditional Arabic" w:hint="cs"/>
          <w:sz w:val="30"/>
          <w:szCs w:val="30"/>
          <w:rtl/>
        </w:rPr>
        <w:t>المصادر الأدبية واللغوية في التراث العربي : للدكتور عز الدين إسماعيل.</w:t>
      </w:r>
    </w:p>
    <w:p w:rsidR="000B4BB1" w:rsidRPr="000B176B" w:rsidRDefault="000B4BB1" w:rsidP="000B4BB1">
      <w:pPr>
        <w:bidi/>
        <w:spacing w:before="240"/>
        <w:ind w:firstLine="369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المراجع الأساسية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التي يجب إ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تاحتها للطلاب للرجوع إليها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0B4BB1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 w:hint="cs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نظرة تاريخية في حركة التأليف عند العرب ، للدكتور أمجد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الطرابلسي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</w:p>
    <w:p w:rsidR="000B4BB1" w:rsidRPr="000B4BB1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 w:hint="cs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المصادر الأدبية واللغوية في التراث العربي : للدكتور عز الدين إسماعيل .</w:t>
      </w:r>
    </w:p>
    <w:p w:rsidR="000B4BB1" w:rsidRPr="000B176B" w:rsidRDefault="000B4BB1" w:rsidP="000B4BB1">
      <w:pPr>
        <w:bidi/>
        <w:spacing w:before="240"/>
        <w:ind w:firstLine="369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المواد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لكترونية و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مواقع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نترنت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0B4BB1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 w:hint="cs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شبكة المستشار اللغوي .</w:t>
      </w:r>
    </w:p>
    <w:p w:rsidR="000B4BB1" w:rsidRPr="005B7118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موقع إيوان اللغة .</w:t>
      </w:r>
    </w:p>
    <w:p w:rsidR="000B4BB1" w:rsidRPr="005B7118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t>عجائب من العربية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0B4BB1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t>فنون اللغة العربية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0B4BB1" w:rsidRDefault="000B4BB1" w:rsidP="000B4BB1">
      <w:pPr>
        <w:numPr>
          <w:ilvl w:val="0"/>
          <w:numId w:val="5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t>مقهى اللغة العربية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 xml:space="preserve">.    </w:t>
      </w:r>
    </w:p>
    <w:tbl>
      <w:tblPr>
        <w:bidiVisual/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1E0"/>
      </w:tblPr>
      <w:tblGrid>
        <w:gridCol w:w="5475"/>
        <w:gridCol w:w="2089"/>
      </w:tblGrid>
      <w:tr w:rsidR="000B4BB1" w:rsidRPr="00671BB9" w:rsidTr="006A6DAF">
        <w:trPr>
          <w:jc w:val="center"/>
        </w:trPr>
        <w:tc>
          <w:tcPr>
            <w:tcW w:w="5475" w:type="dxa"/>
            <w:tcBorders>
              <w:top w:val="single" w:sz="8" w:space="0" w:color="8064A2"/>
              <w:left w:val="nil"/>
              <w:bottom w:val="single" w:sz="4" w:space="0" w:color="FFFFFF"/>
              <w:right w:val="nil"/>
            </w:tcBorders>
            <w:vAlign w:val="center"/>
          </w:tcPr>
          <w:p w:rsidR="000B4BB1" w:rsidRPr="000B176B" w:rsidRDefault="000B4BB1" w:rsidP="006A6DAF">
            <w:pPr>
              <w:rPr>
                <w:rFonts w:ascii="Calibri" w:hAnsi="Calibri" w:cs="Traditional Arabic"/>
                <w:sz w:val="30"/>
                <w:szCs w:val="30"/>
              </w:rPr>
            </w:pPr>
            <w:hyperlink r:id="rId5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http://www.al-mostafa.com/index.htm</w:t>
              </w:r>
            </w:hyperlink>
          </w:p>
        </w:tc>
        <w:tc>
          <w:tcPr>
            <w:tcW w:w="2089" w:type="dxa"/>
            <w:tcBorders>
              <w:top w:val="single" w:sz="8" w:space="0" w:color="8064A2"/>
              <w:left w:val="nil"/>
              <w:bottom w:val="single" w:sz="4" w:space="0" w:color="FFFFFF"/>
              <w:right w:val="nil"/>
            </w:tcBorders>
          </w:tcPr>
          <w:p w:rsidR="000B4BB1" w:rsidRPr="00986902" w:rsidRDefault="000B4BB1" w:rsidP="006A6DAF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مكتبة المصطفى</w:t>
            </w:r>
          </w:p>
        </w:tc>
      </w:tr>
      <w:tr w:rsidR="000B4BB1" w:rsidRPr="00671BB9" w:rsidTr="006A6DAF">
        <w:trPr>
          <w:jc w:val="center"/>
        </w:trPr>
        <w:tc>
          <w:tcPr>
            <w:tcW w:w="5475" w:type="dxa"/>
            <w:tcBorders>
              <w:top w:val="single" w:sz="4" w:space="0" w:color="FFFFFF"/>
              <w:left w:val="nil"/>
              <w:right w:val="nil"/>
            </w:tcBorders>
            <w:shd w:val="clear" w:color="auto" w:fill="F2EFF5"/>
            <w:vAlign w:val="center"/>
          </w:tcPr>
          <w:p w:rsidR="000B4BB1" w:rsidRPr="00986902" w:rsidRDefault="000B4BB1" w:rsidP="006A6DAF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hyperlink r:id="rId6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http://www.alwaraq.net/index</w:t>
              </w:r>
            </w:hyperlink>
          </w:p>
        </w:tc>
        <w:tc>
          <w:tcPr>
            <w:tcW w:w="2089" w:type="dxa"/>
            <w:tcBorders>
              <w:top w:val="single" w:sz="4" w:space="0" w:color="FFFFFF"/>
              <w:left w:val="nil"/>
              <w:right w:val="nil"/>
            </w:tcBorders>
            <w:shd w:val="clear" w:color="auto" w:fill="F2EFF5"/>
          </w:tcPr>
          <w:p w:rsidR="000B4BB1" w:rsidRPr="00986902" w:rsidRDefault="000B4BB1" w:rsidP="006A6DAF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موقع الوراق</w:t>
            </w:r>
          </w:p>
        </w:tc>
      </w:tr>
      <w:tr w:rsidR="000B4BB1" w:rsidRPr="00671BB9" w:rsidTr="006A6DAF">
        <w:trPr>
          <w:jc w:val="center"/>
        </w:trPr>
        <w:tc>
          <w:tcPr>
            <w:tcW w:w="5475" w:type="dxa"/>
            <w:vAlign w:val="center"/>
          </w:tcPr>
          <w:p w:rsidR="000B4BB1" w:rsidRPr="00986902" w:rsidRDefault="000B4BB1" w:rsidP="006A6DAF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</w:rPr>
              <w:t>http://www.almeshkat.net/books/index.php</w:t>
            </w:r>
          </w:p>
        </w:tc>
        <w:tc>
          <w:tcPr>
            <w:tcW w:w="2089" w:type="dxa"/>
          </w:tcPr>
          <w:p w:rsidR="000B4BB1" w:rsidRPr="00986902" w:rsidRDefault="000B4BB1" w:rsidP="006A6DAF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مكتبة مشكاة الإسلام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ية</w:t>
            </w:r>
          </w:p>
        </w:tc>
      </w:tr>
    </w:tbl>
    <w:p w:rsidR="00ED6A94" w:rsidRPr="00CE2E92" w:rsidRDefault="00CE2E92" w:rsidP="00C83C2D">
      <w:pPr>
        <w:jc w:val="right"/>
        <w:rPr>
          <w:rFonts w:asciiTheme="minorHAnsi" w:hAnsiTheme="minorHAnsi" w:cs="Traditional Arabic"/>
          <w:sz w:val="30"/>
          <w:szCs w:val="30"/>
        </w:rPr>
      </w:pPr>
      <w:r>
        <w:rPr>
          <w:rFonts w:asciiTheme="minorHAnsi" w:hAnsiTheme="minorHAnsi" w:cs="Traditional Arabic"/>
          <w:sz w:val="30"/>
          <w:szCs w:val="30"/>
        </w:rPr>
        <w:t xml:space="preserve">    </w:t>
      </w:r>
    </w:p>
    <w:p w:rsidR="00C83C2D" w:rsidRDefault="00C83C2D" w:rsidP="00C83C2D">
      <w:pPr>
        <w:jc w:val="right"/>
        <w:rPr>
          <w:rFonts w:ascii="Traditional Arabic" w:hAnsi="Traditional Arabic" w:cs="Traditional Arabic"/>
          <w:sz w:val="30"/>
          <w:szCs w:val="30"/>
          <w:rtl/>
        </w:rPr>
      </w:pPr>
    </w:p>
    <w:p w:rsidR="00C83C2D" w:rsidRDefault="00C83C2D" w:rsidP="00C83C2D">
      <w:pPr>
        <w:jc w:val="right"/>
        <w:rPr>
          <w:rFonts w:ascii="Traditional Arabic" w:hAnsi="Traditional Arabic" w:cs="Traditional Arabic"/>
          <w:sz w:val="30"/>
          <w:szCs w:val="30"/>
          <w:rtl/>
        </w:rPr>
      </w:pPr>
    </w:p>
    <w:p w:rsidR="00C83C2D" w:rsidRDefault="00C83C2D" w:rsidP="00CE2E92">
      <w:pPr>
        <w:jc w:val="right"/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                         </w:t>
      </w:r>
      <w:r w:rsidR="00CE2E92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sectPr w:rsidR="00C83C2D" w:rsidSect="00307C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11.25pt;height:11.25pt" o:bullet="t">
        <v:imagedata r:id="rId1" o:title="BD14981_"/>
      </v:shape>
    </w:pict>
  </w:numPicBullet>
  <w:numPicBullet w:numPicBulletId="2">
    <w:pict>
      <v:shape id="_x0000_i1044" type="#_x0000_t75" style="width:11.25pt;height:11.25pt" o:bullet="t">
        <v:imagedata r:id="rId2" o:title="msoC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AAD"/>
    <w:multiLevelType w:val="multilevel"/>
    <w:tmpl w:val="46409B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C5426"/>
    <w:multiLevelType w:val="hybridMultilevel"/>
    <w:tmpl w:val="3F5E76CE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92226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30BA"/>
    <w:rsid w:val="000B4BB1"/>
    <w:rsid w:val="00215E5A"/>
    <w:rsid w:val="00307C34"/>
    <w:rsid w:val="005130BA"/>
    <w:rsid w:val="006C5C86"/>
    <w:rsid w:val="00731512"/>
    <w:rsid w:val="00862CE2"/>
    <w:rsid w:val="009C0CE0"/>
    <w:rsid w:val="00A5160E"/>
    <w:rsid w:val="00AA5713"/>
    <w:rsid w:val="00B64036"/>
    <w:rsid w:val="00C83C2D"/>
    <w:rsid w:val="00CB7DD9"/>
    <w:rsid w:val="00CE2E92"/>
    <w:rsid w:val="00E11EDB"/>
    <w:rsid w:val="00ED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2"/>
    <w:pPr>
      <w:ind w:left="720"/>
      <w:contextualSpacing/>
    </w:pPr>
  </w:style>
  <w:style w:type="character" w:styleId="Hyperlink">
    <w:name w:val="Hyperlink"/>
    <w:basedOn w:val="a0"/>
    <w:rsid w:val="000B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waraq.net/index" TargetMode="External"/><Relationship Id="rId5" Type="http://schemas.openxmlformats.org/officeDocument/2006/relationships/hyperlink" Target="http://www.al-mostafa.com/index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ابوعبد الرحمن</dc:creator>
  <cp:lastModifiedBy>acer</cp:lastModifiedBy>
  <cp:revision>2</cp:revision>
  <dcterms:created xsi:type="dcterms:W3CDTF">2012-10-31T15:04:00Z</dcterms:created>
  <dcterms:modified xsi:type="dcterms:W3CDTF">2012-10-31T15:04:00Z</dcterms:modified>
</cp:coreProperties>
</file>