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3" w:rsidRPr="00563824" w:rsidRDefault="00EA0F43" w:rsidP="00EA0F4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EA0F43" w:rsidRDefault="00EA0F43" w:rsidP="00EA0F43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جامعة الملك سعود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EF0321">
        <w:rPr>
          <w:rFonts w:cs="Traditional Arabic" w:hint="cs"/>
          <w:sz w:val="28"/>
          <w:szCs w:val="28"/>
          <w:rtl/>
        </w:rPr>
        <w:t xml:space="preserve"> </w:t>
      </w:r>
      <w:r w:rsidRPr="00563824">
        <w:rPr>
          <w:rFonts w:cs="Traditional Arabic" w:hint="cs"/>
          <w:sz w:val="28"/>
          <w:szCs w:val="28"/>
          <w:rtl/>
        </w:rPr>
        <w:t>الاختبار الموحد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المادة: </w:t>
      </w:r>
      <w:r w:rsidRPr="00563824">
        <w:rPr>
          <w:rFonts w:cs="Traditional Arabic" w:hint="cs"/>
          <w:sz w:val="28"/>
          <w:szCs w:val="28"/>
          <w:rtl/>
        </w:rPr>
        <w:t>مبادئ المحاسبة</w:t>
      </w:r>
    </w:p>
    <w:p w:rsidR="00EA0F43" w:rsidRPr="00563824" w:rsidRDefault="00EA0F43" w:rsidP="00EA0F4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</w:t>
      </w:r>
      <w:r>
        <w:rPr>
          <w:rFonts w:cs="Traditional Arabic" w:hint="cs"/>
          <w:sz w:val="28"/>
          <w:szCs w:val="28"/>
          <w:rtl/>
        </w:rPr>
        <w:tab/>
        <w:t xml:space="preserve">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EA0F43" w:rsidRPr="00563824" w:rsidRDefault="00EA0F43" w:rsidP="00EA0F4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EA0F43" w:rsidRPr="00563824" w:rsidTr="00796E2C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F43" w:rsidRPr="00563824" w:rsidRDefault="00EA0F43" w:rsidP="00796E2C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ab/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F43" w:rsidRPr="00563824" w:rsidRDefault="00EA0F43" w:rsidP="00796E2C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F43" w:rsidRPr="00563824" w:rsidRDefault="00EA0F43" w:rsidP="00796E2C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F43" w:rsidRPr="00563824" w:rsidRDefault="00EA0F43" w:rsidP="00796E2C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000000" w:rsidRPr="0018599D" w:rsidRDefault="00537785" w:rsidP="00394F8B">
      <w:pPr>
        <w:spacing w:after="0" w:line="240" w:lineRule="auto"/>
        <w:rPr>
          <w:rFonts w:cs="Traditional Arabic" w:hint="cs"/>
          <w:b/>
          <w:bCs/>
          <w:sz w:val="28"/>
          <w:szCs w:val="28"/>
          <w:u w:val="single"/>
          <w:rtl/>
        </w:rPr>
      </w:pPr>
      <w:r w:rsidRPr="0018599D">
        <w:rPr>
          <w:rFonts w:cs="Traditional Arabic" w:hint="cs"/>
          <w:b/>
          <w:bCs/>
          <w:sz w:val="28"/>
          <w:szCs w:val="28"/>
          <w:u w:val="single"/>
          <w:rtl/>
        </w:rPr>
        <w:t xml:space="preserve">ملحوظة : عدد صفحات </w:t>
      </w:r>
      <w:r w:rsidR="00394F8B" w:rsidRPr="0018599D">
        <w:rPr>
          <w:rFonts w:cs="Traditional Arabic" w:hint="cs"/>
          <w:b/>
          <w:bCs/>
          <w:sz w:val="28"/>
          <w:szCs w:val="28"/>
          <w:u w:val="single"/>
          <w:rtl/>
        </w:rPr>
        <w:t>الاختيار</w:t>
      </w:r>
      <w:r w:rsidRPr="0018599D">
        <w:rPr>
          <w:rFonts w:cs="Traditional Arabic" w:hint="cs"/>
          <w:b/>
          <w:bCs/>
          <w:sz w:val="28"/>
          <w:szCs w:val="28"/>
          <w:u w:val="single"/>
          <w:rtl/>
        </w:rPr>
        <w:t xml:space="preserve"> (5صحفات )</w:t>
      </w:r>
      <w:r w:rsidR="00394F8B" w:rsidRPr="0018599D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394F8B" w:rsidRPr="0018599D" w:rsidRDefault="00394F8B" w:rsidP="00394F8B">
      <w:pPr>
        <w:spacing w:after="0" w:line="240" w:lineRule="auto"/>
        <w:rPr>
          <w:rFonts w:cs="Traditional Arabic" w:hint="cs"/>
          <w:b/>
          <w:bCs/>
          <w:sz w:val="28"/>
          <w:szCs w:val="28"/>
          <w:rtl/>
        </w:rPr>
      </w:pPr>
      <w:r w:rsidRPr="0018599D">
        <w:rPr>
          <w:rFonts w:cs="Traditional Arabic" w:hint="cs"/>
          <w:b/>
          <w:bCs/>
          <w:sz w:val="28"/>
          <w:szCs w:val="28"/>
          <w:rtl/>
        </w:rPr>
        <w:t>أجب عن الأسئلة التالية :</w:t>
      </w:r>
    </w:p>
    <w:p w:rsidR="00394F8B" w:rsidRDefault="00394F8B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18599D">
        <w:rPr>
          <w:rFonts w:cs="Traditional Arabic" w:hint="cs"/>
          <w:b/>
          <w:bCs/>
          <w:sz w:val="28"/>
          <w:szCs w:val="28"/>
          <w:u w:val="single"/>
          <w:rtl/>
        </w:rPr>
        <w:t>السؤال الأول</w:t>
      </w:r>
      <w:r>
        <w:rPr>
          <w:rFonts w:cs="Traditional Arabic" w:hint="cs"/>
          <w:sz w:val="28"/>
          <w:szCs w:val="28"/>
          <w:rtl/>
        </w:rPr>
        <w:t>:</w:t>
      </w:r>
    </w:p>
    <w:p w:rsidR="00394F8B" w:rsidRDefault="00394F8B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فيما يلي العمليات التي قامت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مؤسسة السعيد لتجارة الملابس خلال شهر رجب 1421هـ:</w:t>
      </w:r>
    </w:p>
    <w:p w:rsidR="00394F8B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1-7 قام السعيد بزيادة رأس المال بإيداع مبلغ 300,000 ريال في ح/ المؤسسة بالبنك.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2-7 اقترضت المؤسسة مبلغ 100,000 ريال نقداً من والد مالك المؤسسة 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3-7 سددت المؤسسة إيجار المحل سنه مقدماً والبالغ 60.000 ريال.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5-7 باعت المؤسسة بضاعة إلي محلات </w:t>
      </w:r>
      <w:proofErr w:type="spellStart"/>
      <w:r>
        <w:rPr>
          <w:rFonts w:cs="Traditional Arabic" w:hint="cs"/>
          <w:sz w:val="28"/>
          <w:szCs w:val="28"/>
          <w:rtl/>
        </w:rPr>
        <w:t>الحعيدي</w:t>
      </w:r>
      <w:proofErr w:type="spellEnd"/>
      <w:r>
        <w:rPr>
          <w:rFonts w:cs="Traditional Arabic" w:hint="cs"/>
          <w:sz w:val="28"/>
          <w:szCs w:val="28"/>
          <w:rtl/>
        </w:rPr>
        <w:t xml:space="preserve"> سعرها بالكتالوج 100.000 ريال بخصم تجاري 10% وخصم آخر مقداره 5% إذا تم السداد خلال أسبوع.</w:t>
      </w:r>
    </w:p>
    <w:p w:rsidR="00E80081" w:rsidRDefault="00E80081" w:rsidP="00E80081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7-7 اشترت المؤسسة بضاعة قيمتها 80.000 ريال، سددت 10.000 ريال نقداً ، 20.000 ريال بشيك، والباقي بالأجل.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9-7 اشترت المؤسسة أثاث بمبلغ 20.000 ريال بالأجل.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11-7 ردت محلات </w:t>
      </w:r>
      <w:proofErr w:type="spellStart"/>
      <w:r>
        <w:rPr>
          <w:rFonts w:cs="Traditional Arabic" w:hint="cs"/>
          <w:sz w:val="28"/>
          <w:szCs w:val="28"/>
          <w:rtl/>
        </w:rPr>
        <w:t>الجعيدي</w:t>
      </w:r>
      <w:proofErr w:type="spellEnd"/>
      <w:r>
        <w:rPr>
          <w:rFonts w:cs="Traditional Arabic" w:hint="cs"/>
          <w:sz w:val="28"/>
          <w:szCs w:val="28"/>
          <w:rtl/>
        </w:rPr>
        <w:t xml:space="preserve"> بضاعة سعرها بالكتالوج 20.000 ريال، وسددت الرصيد المستحق عليها بشيك.</w:t>
      </w:r>
    </w:p>
    <w:p w:rsidR="00E80081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15-7 اشترت مؤسسة السعيد سيارتين متساويتين في القيمة من معرض </w:t>
      </w:r>
      <w:proofErr w:type="spellStart"/>
      <w:r>
        <w:rPr>
          <w:rFonts w:cs="Traditional Arabic" w:hint="cs"/>
          <w:sz w:val="28"/>
          <w:szCs w:val="28"/>
          <w:rtl/>
        </w:rPr>
        <w:t>الملز</w:t>
      </w:r>
      <w:proofErr w:type="spellEnd"/>
      <w:r>
        <w:rPr>
          <w:rFonts w:cs="Traditional Arabic" w:hint="cs"/>
          <w:sz w:val="28"/>
          <w:szCs w:val="28"/>
          <w:rtl/>
        </w:rPr>
        <w:t xml:space="preserve"> للسيارات بتكلفة إجمالية قدرها 80.000 ريال وذلك مقابل تنازل السعيد عن دين شخصي مستحق له طرف معرض </w:t>
      </w:r>
      <w:proofErr w:type="spellStart"/>
      <w:r>
        <w:rPr>
          <w:rFonts w:cs="Traditional Arabic" w:hint="cs"/>
          <w:sz w:val="28"/>
          <w:szCs w:val="28"/>
          <w:rtl/>
        </w:rPr>
        <w:t>الملز</w:t>
      </w:r>
      <w:proofErr w:type="spellEnd"/>
      <w:r>
        <w:rPr>
          <w:rFonts w:cs="Traditional Arabic" w:hint="cs"/>
          <w:sz w:val="28"/>
          <w:szCs w:val="28"/>
          <w:rtl/>
        </w:rPr>
        <w:t xml:space="preserve"> للسيارات، وقد تم استخدام إحدى السيارتين في نقل بضائع المنشأة والأخرى للاستخدام الشخصي لصاحب المنشأة.</w:t>
      </w:r>
    </w:p>
    <w:p w:rsidR="009D2808" w:rsidRDefault="00E80081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20-7 باعت المؤسسة</w:t>
      </w:r>
      <w:r w:rsidR="009D2808">
        <w:rPr>
          <w:rFonts w:cs="Traditional Arabic" w:hint="cs"/>
          <w:sz w:val="28"/>
          <w:szCs w:val="28"/>
          <w:rtl/>
        </w:rPr>
        <w:t xml:space="preserve"> بضاعة</w:t>
      </w:r>
      <w:r>
        <w:rPr>
          <w:rFonts w:cs="Traditional Arabic" w:hint="cs"/>
          <w:sz w:val="28"/>
          <w:szCs w:val="28"/>
          <w:rtl/>
        </w:rPr>
        <w:t xml:space="preserve"> لمحلات البدر بمبلغ</w:t>
      </w:r>
      <w:r w:rsidR="009D2808">
        <w:rPr>
          <w:rFonts w:cs="Traditional Arabic" w:hint="cs"/>
          <w:sz w:val="28"/>
          <w:szCs w:val="28"/>
          <w:rtl/>
        </w:rPr>
        <w:t xml:space="preserve"> 15.000 ريال مقابل تنازل البدر عن دين سابق له طرف المؤسسة .</w:t>
      </w:r>
    </w:p>
    <w:p w:rsidR="009D2808" w:rsidRDefault="009D2808" w:rsidP="00394F8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28-7 سددت المؤسسة بشيكات المصروفات التالية : 60.000 رواتب، 10.000 مصاريف كهرباء، 9000 </w:t>
      </w:r>
      <w:proofErr w:type="spellStart"/>
      <w:r>
        <w:rPr>
          <w:rFonts w:cs="Traditional Arabic" w:hint="cs"/>
          <w:sz w:val="28"/>
          <w:szCs w:val="28"/>
          <w:rtl/>
        </w:rPr>
        <w:t>يرال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مصاريف تليفون .</w:t>
      </w:r>
    </w:p>
    <w:p w:rsidR="009D2808" w:rsidRDefault="009D2808" w:rsidP="009D2808">
      <w:pPr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</w:p>
    <w:p w:rsidR="009D2808" w:rsidRDefault="009D2808" w:rsidP="009D2808">
      <w:pPr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المطلوب :</w:t>
      </w:r>
    </w:p>
    <w:p w:rsidR="009D2808" w:rsidRDefault="009D2808" w:rsidP="009D2808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تسجيل العمليات السابقة بدفتر مؤسسة السعيد (استخدم الصفحة التالية للإجابة )</w:t>
      </w:r>
    </w:p>
    <w:p w:rsidR="009D2808" w:rsidRDefault="009D2808" w:rsidP="009D2808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تصوير ح/ البنك إذا علمت أن رصيد البنك في بداية الشهر كان 90.600 ريال.</w:t>
      </w:r>
    </w:p>
    <w:p w:rsidR="009D2808" w:rsidRDefault="009D2808" w:rsidP="009D280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E80081" w:rsidRDefault="009D2808" w:rsidP="009D2808">
      <w:pPr>
        <w:spacing w:after="0" w:line="240" w:lineRule="auto"/>
        <w:jc w:val="center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حـ/ البنك</w:t>
      </w:r>
    </w:p>
    <w:p w:rsidR="009D2808" w:rsidRPr="009D2808" w:rsidRDefault="009D2808" w:rsidP="009D2808">
      <w:pPr>
        <w:spacing w:after="0" w:line="240" w:lineRule="auto"/>
        <w:jc w:val="center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9pt;margin-top:13.5pt;width:494.25pt;height:.05pt;flip:x;z-index:251658240" o:connectortype="straight">
            <w10:wrap anchorx="page"/>
          </v:shape>
        </w:pict>
      </w:r>
    </w:p>
    <w:p w:rsidR="00394F8B" w:rsidRDefault="00394F8B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Pr="00395C3D" w:rsidRDefault="009D2808" w:rsidP="00394F8B">
      <w:pPr>
        <w:spacing w:after="0" w:line="240" w:lineRule="auto"/>
        <w:rPr>
          <w:rFonts w:cs="Traditional Arabic" w:hint="cs"/>
          <w:b/>
          <w:bCs/>
          <w:sz w:val="28"/>
          <w:szCs w:val="28"/>
          <w:rtl/>
        </w:rPr>
      </w:pPr>
      <w:r w:rsidRPr="00395C3D">
        <w:rPr>
          <w:rFonts w:cs="Traditional Arabic" w:hint="cs"/>
          <w:b/>
          <w:bCs/>
          <w:sz w:val="28"/>
          <w:szCs w:val="28"/>
          <w:rtl/>
        </w:rPr>
        <w:lastRenderedPageBreak/>
        <w:t>دفتر يومية مؤسسة السعيد ( قيود اليومية )</w:t>
      </w:r>
    </w:p>
    <w:tbl>
      <w:tblPr>
        <w:tblStyle w:val="a3"/>
        <w:bidiVisual/>
        <w:tblW w:w="0" w:type="auto"/>
        <w:tblLook w:val="04A0"/>
      </w:tblPr>
      <w:tblGrid>
        <w:gridCol w:w="1417"/>
        <w:gridCol w:w="1417"/>
        <w:gridCol w:w="6009"/>
        <w:gridCol w:w="1417"/>
      </w:tblGrid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مدين </w:t>
            </w: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التاريخ</w:t>
            </w: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D2808" w:rsidTr="009D2808"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009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D2808" w:rsidRDefault="009D2808" w:rsidP="00394F8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9D2808" w:rsidRDefault="009D2808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9D2808" w:rsidRPr="00395C3D" w:rsidRDefault="005A047E" w:rsidP="00394F8B">
      <w:pPr>
        <w:spacing w:after="0" w:line="240" w:lineRule="auto"/>
        <w:rPr>
          <w:rFonts w:cs="Traditional Arabic" w:hint="cs"/>
          <w:b/>
          <w:bCs/>
          <w:sz w:val="28"/>
          <w:szCs w:val="28"/>
          <w:rtl/>
        </w:rPr>
      </w:pPr>
      <w:r w:rsidRPr="00395C3D">
        <w:rPr>
          <w:rFonts w:cs="Traditional Arabic" w:hint="cs"/>
          <w:b/>
          <w:bCs/>
          <w:sz w:val="28"/>
          <w:szCs w:val="28"/>
          <w:rtl/>
        </w:rPr>
        <w:lastRenderedPageBreak/>
        <w:t>السؤال الثاني :</w:t>
      </w:r>
    </w:p>
    <w:p w:rsidR="005A047E" w:rsidRDefault="005A047E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فيما يلي ورقة عمل إعداد القوائم المالية المروج لخدمات الصيانة في 30/12/1421هـ:</w:t>
      </w:r>
    </w:p>
    <w:tbl>
      <w:tblPr>
        <w:tblStyle w:val="a3"/>
        <w:tblpPr w:leftFromText="180" w:rightFromText="180" w:vertAnchor="page" w:horzAnchor="margin" w:tblpY="1590"/>
        <w:bidiVisual/>
        <w:tblW w:w="10915" w:type="dxa"/>
        <w:tblLook w:val="04A0"/>
      </w:tblPr>
      <w:tblGrid>
        <w:gridCol w:w="1276"/>
        <w:gridCol w:w="2075"/>
        <w:gridCol w:w="901"/>
        <w:gridCol w:w="993"/>
        <w:gridCol w:w="850"/>
        <w:gridCol w:w="851"/>
        <w:gridCol w:w="708"/>
        <w:gridCol w:w="709"/>
        <w:gridCol w:w="709"/>
        <w:gridCol w:w="654"/>
        <w:gridCol w:w="595"/>
        <w:gridCol w:w="594"/>
      </w:tblGrid>
      <w:tr w:rsidR="005A047E" w:rsidRPr="00964FDC" w:rsidTr="005A047E">
        <w:tc>
          <w:tcPr>
            <w:tcW w:w="1276" w:type="dxa"/>
            <w:vMerge w:val="restart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2075" w:type="dxa"/>
            <w:vMerge w:val="restart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894" w:type="dxa"/>
            <w:gridSpan w:val="2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ميزان المراجعة </w:t>
            </w:r>
          </w:p>
        </w:tc>
        <w:tc>
          <w:tcPr>
            <w:tcW w:w="1701" w:type="dxa"/>
            <w:gridSpan w:val="2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417" w:type="dxa"/>
            <w:gridSpan w:val="2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363" w:type="dxa"/>
            <w:gridSpan w:val="2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الدخل</w:t>
            </w:r>
          </w:p>
        </w:tc>
        <w:tc>
          <w:tcPr>
            <w:tcW w:w="1189" w:type="dxa"/>
            <w:gridSpan w:val="2"/>
            <w:vAlign w:val="center"/>
          </w:tcPr>
          <w:p w:rsidR="005A047E" w:rsidRPr="00964FDC" w:rsidRDefault="005A047E" w:rsidP="005A047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المركز المالي</w:t>
            </w:r>
          </w:p>
        </w:tc>
      </w:tr>
      <w:tr w:rsidR="005A047E" w:rsidRPr="00964FDC" w:rsidTr="005A047E">
        <w:tc>
          <w:tcPr>
            <w:tcW w:w="1276" w:type="dxa"/>
            <w:vMerge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  <w:vMerge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50.000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البنك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15.000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مدينون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20.000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إعلان مقدم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318.000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آلات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؟؟؟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مجمع استهلاك آلات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60.000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إيرادات صيانة مقدمة 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300.000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إيرادات صيانة 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25.000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دائنون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125.000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رأس المال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27.000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كهرباء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r>
              <w:rPr>
                <w:rFonts w:hint="cs"/>
                <w:rtl/>
              </w:rPr>
              <w:t>200.000</w:t>
            </w: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رواتب</w:t>
            </w: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/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/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A047E" w:rsidRPr="00964FDC" w:rsidTr="005A047E">
        <w:tc>
          <w:tcPr>
            <w:tcW w:w="1276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A047E" w:rsidRPr="00964FDC" w:rsidRDefault="005A047E" w:rsidP="005A047E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5A047E" w:rsidRDefault="005A047E" w:rsidP="00394F8B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395C3D">
        <w:rPr>
          <w:rFonts w:cs="Traditional Arabic" w:hint="cs"/>
          <w:b/>
          <w:bCs/>
          <w:sz w:val="36"/>
          <w:szCs w:val="36"/>
          <w:rtl/>
        </w:rPr>
        <w:t>المطلوب</w:t>
      </w:r>
      <w:r>
        <w:rPr>
          <w:rFonts w:cs="Traditional Arabic" w:hint="cs"/>
          <w:sz w:val="28"/>
          <w:szCs w:val="28"/>
          <w:rtl/>
        </w:rPr>
        <w:t>:</w:t>
      </w:r>
    </w:p>
    <w:p w:rsidR="005A047E" w:rsidRDefault="005A047E" w:rsidP="005A047E">
      <w:pPr>
        <w:pStyle w:val="a4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استكمال ورقة العمل التالية في ظل المعلومات التالية :</w:t>
      </w:r>
    </w:p>
    <w:p w:rsidR="005A047E" w:rsidRDefault="005A047E" w:rsidP="005A047E">
      <w:pPr>
        <w:pStyle w:val="a4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قدر مصروف الاستهلاك السنوي بمبلغ 40.000 ريال.</w:t>
      </w:r>
    </w:p>
    <w:p w:rsidR="005A047E" w:rsidRDefault="005A047E" w:rsidP="005A047E">
      <w:pPr>
        <w:pStyle w:val="a4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بلغت قيمة فاتورة الكهرباء عن شهر الأخير من السنة مبلغ 3000 ريال، لم تسدد بعد ولم تسجل بالدفاتر.</w:t>
      </w:r>
    </w:p>
    <w:p w:rsidR="005A047E" w:rsidRDefault="00E6324A" w:rsidP="005A047E">
      <w:pPr>
        <w:pStyle w:val="a4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يمثل بند مصروف الإعلان المقدم حملة إعلانية في جريدة الشمس فترة سنتين من 1/1/1421حتى30/12/1422هـ.</w:t>
      </w:r>
    </w:p>
    <w:p w:rsidR="00E6324A" w:rsidRDefault="004D3AD6" w:rsidP="005A047E">
      <w:pPr>
        <w:pStyle w:val="a4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يمثل بند إيرادات الصيانة المقدمة مبلغ سددته مقدماً محلات </w:t>
      </w:r>
      <w:proofErr w:type="spellStart"/>
      <w:r>
        <w:rPr>
          <w:rFonts w:cs="Traditional Arabic" w:hint="cs"/>
          <w:sz w:val="28"/>
          <w:szCs w:val="28"/>
          <w:rtl/>
        </w:rPr>
        <w:t>الملز</w:t>
      </w:r>
      <w:proofErr w:type="spellEnd"/>
      <w:r>
        <w:rPr>
          <w:rFonts w:cs="Traditional Arabic" w:hint="cs"/>
          <w:sz w:val="28"/>
          <w:szCs w:val="28"/>
          <w:rtl/>
        </w:rPr>
        <w:t xml:space="preserve"> عن فترة 6 شهور تبدأ في 1/4/1421هـ، وقد استمرت مؤسسة المروج في تقديم خدمات الصيانة لمحلات </w:t>
      </w:r>
      <w:proofErr w:type="spellStart"/>
      <w:r>
        <w:rPr>
          <w:rFonts w:cs="Traditional Arabic" w:hint="cs"/>
          <w:sz w:val="28"/>
          <w:szCs w:val="28"/>
          <w:rtl/>
        </w:rPr>
        <w:t>الملز</w:t>
      </w:r>
      <w:proofErr w:type="spellEnd"/>
      <w:r>
        <w:rPr>
          <w:rFonts w:cs="Traditional Arabic" w:hint="cs"/>
          <w:sz w:val="28"/>
          <w:szCs w:val="28"/>
          <w:rtl/>
        </w:rPr>
        <w:t xml:space="preserve"> حتى</w:t>
      </w:r>
      <w:r w:rsidR="00A85E9E">
        <w:rPr>
          <w:rFonts w:cs="Traditional Arabic" w:hint="cs"/>
          <w:sz w:val="28"/>
          <w:szCs w:val="28"/>
          <w:rtl/>
        </w:rPr>
        <w:t>30/11/1421هـ حيث توقفت عند هذا التاريخ عن تقديم هذه الخدمات دون أن تحصل على أية مبالغ أخرى بخلاف ما سبق ذكره حتى نهاية السنة.</w:t>
      </w: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pStyle w:val="a4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noProof/>
          <w:sz w:val="28"/>
          <w:szCs w:val="28"/>
          <w:rtl/>
        </w:rPr>
        <w:pict>
          <v:shape id="_x0000_s1027" type="#_x0000_t32" style="position:absolute;left:0;text-align:left;margin-left:278.65pt;margin-top:16.9pt;width:.05pt;height:104.6pt;z-index:251659264" o:connectortype="straight">
            <w10:wrap anchorx="page"/>
          </v:shape>
        </w:pict>
      </w:r>
      <w:r>
        <w:rPr>
          <w:rFonts w:cs="Traditional Arabic" w:hint="cs"/>
          <w:sz w:val="28"/>
          <w:szCs w:val="28"/>
          <w:rtl/>
        </w:rPr>
        <w:t>إجراء قيود الإقفال عن سنة 1421هـ:</w:t>
      </w: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Pr="00395C3D" w:rsidRDefault="00A85E9E" w:rsidP="00A85E9E">
      <w:pPr>
        <w:pStyle w:val="a4"/>
        <w:numPr>
          <w:ilvl w:val="0"/>
          <w:numId w:val="3"/>
        </w:numPr>
        <w:spacing w:after="0" w:line="240" w:lineRule="auto"/>
        <w:rPr>
          <w:rFonts w:cs="Traditional Arabic" w:hint="cs"/>
          <w:b/>
          <w:bCs/>
          <w:sz w:val="36"/>
          <w:szCs w:val="36"/>
        </w:rPr>
      </w:pPr>
      <w:r w:rsidRPr="00395C3D">
        <w:rPr>
          <w:rFonts w:cs="Traditional Arabic" w:hint="cs"/>
          <w:b/>
          <w:bCs/>
          <w:sz w:val="36"/>
          <w:szCs w:val="36"/>
          <w:rtl/>
        </w:rPr>
        <w:t>إعداد قائمة المركز المالي لمؤسسة المروج لخدمات الصيانة في 30/12/1421 مرتبة (مبوبة)</w:t>
      </w: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Default="00A85E9E" w:rsidP="00A85E9E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A85E9E" w:rsidRPr="00395C3D" w:rsidRDefault="00A85E9E" w:rsidP="00A85E9E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b/>
          <w:bCs/>
          <w:sz w:val="36"/>
          <w:szCs w:val="36"/>
        </w:rPr>
      </w:pPr>
      <w:r w:rsidRPr="00395C3D">
        <w:rPr>
          <w:rFonts w:cs="Traditional Arabic" w:hint="cs"/>
          <w:b/>
          <w:bCs/>
          <w:sz w:val="36"/>
          <w:szCs w:val="36"/>
          <w:rtl/>
        </w:rPr>
        <w:t>احتساب صافي رأس المال العامل لمؤسسة المروج في 30/12/1421هـ</w:t>
      </w:r>
    </w:p>
    <w:sectPr w:rsidR="00A85E9E" w:rsidRPr="00395C3D" w:rsidSect="00EA0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582"/>
    <w:multiLevelType w:val="hybridMultilevel"/>
    <w:tmpl w:val="F300DD02"/>
    <w:lvl w:ilvl="0" w:tplc="CF602F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D545F"/>
    <w:multiLevelType w:val="hybridMultilevel"/>
    <w:tmpl w:val="2AFC708E"/>
    <w:lvl w:ilvl="0" w:tplc="DFDA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B5C1B"/>
    <w:multiLevelType w:val="hybridMultilevel"/>
    <w:tmpl w:val="2B92CBC0"/>
    <w:lvl w:ilvl="0" w:tplc="63DA1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4065A"/>
    <w:multiLevelType w:val="hybridMultilevel"/>
    <w:tmpl w:val="6D6887A2"/>
    <w:lvl w:ilvl="0" w:tplc="EA94B0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EA0F43"/>
    <w:rsid w:val="0018599D"/>
    <w:rsid w:val="00394F8B"/>
    <w:rsid w:val="00395C3D"/>
    <w:rsid w:val="004D3AD6"/>
    <w:rsid w:val="00537785"/>
    <w:rsid w:val="005A047E"/>
    <w:rsid w:val="009D2808"/>
    <w:rsid w:val="00A85E9E"/>
    <w:rsid w:val="00E6324A"/>
    <w:rsid w:val="00E80081"/>
    <w:rsid w:val="00EA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2013-10-25T19:26:00Z</dcterms:created>
  <dcterms:modified xsi:type="dcterms:W3CDTF">2013-10-25T20:07:00Z</dcterms:modified>
</cp:coreProperties>
</file>