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bidiVisual/>
        <w:tblW w:w="9574" w:type="dxa"/>
        <w:tblInd w:w="-5" w:type="dxa"/>
        <w:tblLook w:val="04A0" w:firstRow="1" w:lastRow="0" w:firstColumn="1" w:lastColumn="0" w:noHBand="0" w:noVBand="1"/>
      </w:tblPr>
      <w:tblGrid>
        <w:gridCol w:w="9574"/>
      </w:tblGrid>
      <w:tr w:rsidR="00036D14" w:rsidTr="00BC7209">
        <w:tc>
          <w:tcPr>
            <w:tcW w:w="9574" w:type="dxa"/>
          </w:tcPr>
          <w:p w:rsidR="00036D14" w:rsidRDefault="00036D14" w:rsidP="00BC7209">
            <w:pPr>
              <w:jc w:val="both"/>
              <w:rPr>
                <w:rtl/>
              </w:rPr>
            </w:pPr>
          </w:p>
          <w:p w:rsidR="00036D14" w:rsidRPr="0050513A" w:rsidRDefault="00036D14" w:rsidP="00BC7209">
            <w:pPr>
              <w:jc w:val="both"/>
              <w:rPr>
                <w:rFonts w:hint="cs"/>
                <w:rtl/>
                <w:lang w:val="en-GB"/>
              </w:rPr>
            </w:pPr>
            <w:r w:rsidRPr="004C3EB0">
              <w:rPr>
                <w:rFonts w:hint="cs"/>
                <w:b/>
                <w:bCs/>
                <w:rtl/>
              </w:rPr>
              <w:t>الخوارزمي</w:t>
            </w:r>
            <w:r>
              <w:rPr>
                <w:rFonts w:hint="cs"/>
                <w:rtl/>
              </w:rPr>
              <w:t xml:space="preserve"> </w:t>
            </w:r>
            <w:r>
              <w:rPr>
                <w:rFonts w:hint="cs"/>
                <w:rtl/>
                <w:lang w:val="en-GB"/>
              </w:rPr>
              <w:t xml:space="preserve">(الفن ومذاهبه في النثر العربي. </w:t>
            </w:r>
            <w:r>
              <w:rPr>
                <w:rFonts w:hint="cs"/>
                <w:rtl/>
              </w:rPr>
              <w:t>ص ٢٣٠)</w:t>
            </w:r>
          </w:p>
          <w:p w:rsidR="00036D14" w:rsidRDefault="00036D14" w:rsidP="00BC7209">
            <w:pPr>
              <w:jc w:val="both"/>
              <w:rPr>
                <w:rFonts w:cs="Arial"/>
                <w:rtl/>
              </w:rPr>
            </w:pPr>
            <w:hyperlink r:id="rId4" w:history="1">
              <w:r w:rsidRPr="00CC7C43">
                <w:rPr>
                  <w:rStyle w:val="Hyperlink"/>
                </w:rPr>
                <w:t>https://al-maktaba.org/book/11544/231#p1</w:t>
              </w:r>
            </w:hyperlink>
          </w:p>
          <w:p w:rsidR="00036D14" w:rsidRDefault="00036D14" w:rsidP="00BC7209">
            <w:pPr>
              <w:jc w:val="both"/>
              <w:rPr>
                <w:rFonts w:cs="Arial"/>
                <w:rtl/>
              </w:rPr>
            </w:pPr>
          </w:p>
          <w:p w:rsidR="00036D14" w:rsidRDefault="00036D14" w:rsidP="00BC7209">
            <w:pPr>
              <w:jc w:val="both"/>
              <w:rPr>
                <w:rFonts w:cs="Arial"/>
                <w:rtl/>
              </w:rPr>
            </w:pPr>
            <w:r>
              <w:rPr>
                <w:rFonts w:cs="Arial" w:hint="cs"/>
                <w:rtl/>
              </w:rPr>
              <w:t xml:space="preserve">هو </w:t>
            </w:r>
            <w:r w:rsidRPr="00991555">
              <w:rPr>
                <w:rFonts w:cs="Arial"/>
                <w:rtl/>
              </w:rPr>
              <w:t>أبو بكر محمد بن العباس الخوارزمي (323-383هـ)</w:t>
            </w:r>
            <w:r>
              <w:rPr>
                <w:rFonts w:cs="Arial" w:hint="cs"/>
                <w:rtl/>
              </w:rPr>
              <w:t xml:space="preserve">. </w:t>
            </w:r>
            <w:r w:rsidRPr="00001CE1">
              <w:rPr>
                <w:rFonts w:cs="Arial"/>
                <w:rtl/>
              </w:rPr>
              <w:t xml:space="preserve">ولد ونشأ </w:t>
            </w:r>
            <w:proofErr w:type="spellStart"/>
            <w:r w:rsidRPr="00001CE1">
              <w:rPr>
                <w:rFonts w:cs="Arial"/>
                <w:rtl/>
              </w:rPr>
              <w:t>بخوارزم</w:t>
            </w:r>
            <w:proofErr w:type="spellEnd"/>
            <w:r w:rsidRPr="00001CE1">
              <w:rPr>
                <w:rFonts w:cs="Arial"/>
                <w:rtl/>
              </w:rPr>
              <w:t>، وأصله من طبرستان. وهو قوي المعرفة، قويم الأدب، نافذ القريحة، حسن الشعر، ولم يزل يتقلب في البلاد، ويدخل العراق والشام، ويأخذ عن العلماء، ويقتبس من الشعراء، حتى أصبح فرد الدهر في الأدب والشعر. وصلُح حاله بعد أن وفَدَ على الصاحب بن عباد بأصبهان، فأعجِبَ به الصاحب وجعله من جملة ندمائه المختصين به. وحسنت حاله واكتسب مكانة وثراء لازماه بقية حياته. وقد كان الخوارزمي من كبار الأدباء في عصره، روى ابن خَلّكان أنه استأذن على الصاحب بن عباد، فقال الصاحب لحاجبه: قل لهذا المستأذن قد ألزمت نفسي أن لا يدخل على أحد من الأدباء، إلا من يحفظ عشرين ألف بيت من شعر العرب، فخرج إليه الحاجب وأعلمه بذلك، فقال له الخوارزمي: ارجع إليه، وقل له: هذا القدر من شعر الرجال، أم من شعر النساء؟ فدخل الحاجب، فأعلم الصاحب بما قال، فقال الصاحب: هذا يكون أبا بكر الخوارزمي. ويظهر [من رسائله] أنه كان متشيعًا غاليًا في تشيعه، ففي رسائله رسالة شيعية صب فيها جام غضبه على الخلفاء من الأمويين والعباسيين، وإن من يرجع إلى رسائله يجدها تستحوذ على خصائص مذهب التصنيع لعصره في صورة بالغة من السجع، والبديع، وانظر إليه</w:t>
            </w:r>
            <w:r>
              <w:rPr>
                <w:rFonts w:cs="Arial" w:hint="cs"/>
                <w:rtl/>
              </w:rPr>
              <w:t xml:space="preserve"> </w:t>
            </w:r>
            <w:r w:rsidRPr="0050513A">
              <w:rPr>
                <w:rFonts w:cs="Arial"/>
                <w:rtl/>
                <w:lang w:val="en-GB"/>
              </w:rPr>
              <w:t>يكتب إلى أبي علي البلعمي لما طال عتَبُه، وكثُرت رقاعه:</w:t>
            </w:r>
          </w:p>
          <w:p w:rsidR="00036D14" w:rsidRPr="00A54E33" w:rsidRDefault="00036D14" w:rsidP="00BC7209">
            <w:pPr>
              <w:jc w:val="both"/>
              <w:rPr>
                <w:rFonts w:cs="Arial"/>
                <w:rtl/>
              </w:rPr>
            </w:pPr>
          </w:p>
          <w:p w:rsidR="00036D14" w:rsidRDefault="00036D14" w:rsidP="00BC7209">
            <w:pPr>
              <w:jc w:val="both"/>
              <w:rPr>
                <w:rtl/>
                <w:lang w:val="en-GB"/>
              </w:rPr>
            </w:pPr>
            <w:r w:rsidRPr="0050513A">
              <w:rPr>
                <w:rFonts w:cs="Arial"/>
                <w:rtl/>
                <w:lang w:val="en-GB"/>
              </w:rPr>
              <w:t>"</w:t>
            </w:r>
            <w:r w:rsidRPr="00CA1C55">
              <w:rPr>
                <w:rFonts w:cs="Arial"/>
                <w:b/>
                <w:bCs/>
                <w:rtl/>
                <w:lang w:val="en-GB"/>
              </w:rPr>
              <w:t xml:space="preserve">الكريم -أيد الله تعالى الشيخ- إذا قدر، غفر، وإذا أوثق أطلق، وإذا أسر أعتق، ولقد هربت من الشيخ إليه، وتسلحت بعفوه عليه، وألقيت ربقة حياتي ومماتي بيديه، </w:t>
            </w:r>
            <w:proofErr w:type="spellStart"/>
            <w:r w:rsidRPr="00CA1C55">
              <w:rPr>
                <w:rFonts w:cs="Arial"/>
                <w:b/>
                <w:bCs/>
                <w:rtl/>
                <w:lang w:val="en-GB"/>
              </w:rPr>
              <w:t>فليذقني</w:t>
            </w:r>
            <w:proofErr w:type="spellEnd"/>
            <w:r w:rsidRPr="00CA1C55">
              <w:rPr>
                <w:rFonts w:cs="Arial"/>
                <w:b/>
                <w:bCs/>
                <w:rtl/>
                <w:lang w:val="en-GB"/>
              </w:rPr>
              <w:t xml:space="preserve"> حلاوة رضاه عني، كما أذاقني مرارة انتقامه مني، ولتلح على حالي غرة عفوه، كما لاحت عليها مواسم غضبه، وسطوه، وليعلم أن الحر كريم الظفر إذا نال أقال، وأن العبد لئيم الظفر، إذا نال استطال، وليغتنم التجاوز عن عثرات الأحرار، ولينتهز فرص الأقدار، وليحمد الله تعالى الذي أقامه مقام من يرجى، ويخشى، وركب نصابه في رتبة شاب الزمان ومجدها فتي، وأخلق العالم وذكرها طري، فجعله في الميلاد </w:t>
            </w:r>
            <w:proofErr w:type="spellStart"/>
            <w:r w:rsidRPr="00CA1C55">
              <w:rPr>
                <w:rFonts w:cs="Arial"/>
                <w:b/>
                <w:bCs/>
                <w:rtl/>
                <w:lang w:val="en-GB"/>
              </w:rPr>
              <w:t>كريمها</w:t>
            </w:r>
            <w:proofErr w:type="spellEnd"/>
            <w:r w:rsidRPr="00CA1C55">
              <w:rPr>
                <w:rFonts w:cs="Arial"/>
                <w:b/>
                <w:bCs/>
                <w:rtl/>
                <w:lang w:val="en-GB"/>
              </w:rPr>
              <w:t xml:space="preserve">، </w:t>
            </w:r>
            <w:proofErr w:type="spellStart"/>
            <w:r w:rsidRPr="00CA1C55">
              <w:rPr>
                <w:rFonts w:cs="Arial"/>
                <w:b/>
                <w:bCs/>
                <w:rtl/>
                <w:lang w:val="en-GB"/>
              </w:rPr>
              <w:t>وسليلها</w:t>
            </w:r>
            <w:proofErr w:type="spellEnd"/>
            <w:r w:rsidRPr="00CA1C55">
              <w:rPr>
                <w:rFonts w:cs="Arial"/>
                <w:b/>
                <w:bCs/>
                <w:rtl/>
                <w:lang w:val="en-GB"/>
              </w:rPr>
              <w:t xml:space="preserve">، وفي الرتبة </w:t>
            </w:r>
            <w:proofErr w:type="spellStart"/>
            <w:r w:rsidRPr="00CA1C55">
              <w:rPr>
                <w:rFonts w:cs="Arial"/>
                <w:b/>
                <w:bCs/>
                <w:rtl/>
                <w:lang w:val="en-GB"/>
              </w:rPr>
              <w:t>قدوتها</w:t>
            </w:r>
            <w:proofErr w:type="spellEnd"/>
            <w:r w:rsidRPr="00CA1C55">
              <w:rPr>
                <w:rFonts w:cs="Arial"/>
                <w:b/>
                <w:bCs/>
                <w:rtl/>
                <w:lang w:val="en-GB"/>
              </w:rPr>
              <w:t xml:space="preserve"> وجليلها، وليعتقد أنه قد هابه من استتر، ولم يذنب إليه من اعتذر، وأن من رد عليه عذره، فقد خرج إلى الشجاعة بعد الجبن، وأخرج ذنبه إلى صحو اليقين من سترة الظن، وفق الله تعالى الشيخ لما يحفظ عليه قلوب أوليائه، وعصمه بما يزيد به في جماجم أعدائه، وليس بين الموالا</w:t>
            </w:r>
            <w:r>
              <w:rPr>
                <w:rFonts w:cs="Arial" w:hint="cs"/>
                <w:b/>
                <w:bCs/>
                <w:rtl/>
                <w:lang w:val="en-GB"/>
              </w:rPr>
              <w:t>ة</w:t>
            </w:r>
            <w:r w:rsidRPr="00CA1C55">
              <w:rPr>
                <w:rFonts w:cs="Arial"/>
                <w:b/>
                <w:bCs/>
                <w:rtl/>
                <w:lang w:val="en-GB"/>
              </w:rPr>
              <w:t xml:space="preserve"> والمعاداة، إلا لقية بشعة، أو لفظة قذعة</w:t>
            </w:r>
            <w:r w:rsidRPr="0050513A">
              <w:rPr>
                <w:rFonts w:cs="Arial"/>
                <w:rtl/>
                <w:lang w:val="en-GB"/>
              </w:rPr>
              <w:t>".</w:t>
            </w:r>
          </w:p>
          <w:p w:rsidR="00036D14" w:rsidRDefault="00036D14" w:rsidP="00BC7209">
            <w:pPr>
              <w:jc w:val="both"/>
              <w:rPr>
                <w:rtl/>
                <w:lang w:val="en-GB"/>
              </w:rPr>
            </w:pPr>
          </w:p>
          <w:p w:rsidR="00036D14" w:rsidRPr="009B2EB4" w:rsidRDefault="00036D14" w:rsidP="00BC7209">
            <w:pPr>
              <w:jc w:val="both"/>
              <w:rPr>
                <w:rtl/>
                <w:lang w:val="en-GB"/>
              </w:rPr>
            </w:pPr>
            <w:r w:rsidRPr="009B2EB4">
              <w:rPr>
                <w:rFonts w:cs="Arial"/>
                <w:rtl/>
                <w:lang w:val="en-GB"/>
              </w:rPr>
              <w:t>وأنت ترى في هذه الرسالة، أن الخوارزمي يعتمد على السجع اعتمادا يشبه ما رأيناه سابقًا عند ابن العميد، والصاحب، فهو ينتخب لفظه كما ينتخب أسجاعه، وهو يعني بالسجع القصير، حتى لا يطول الزمان على الأذن، فتخرج من الجو الموسيقي الذي يريده الكاتب، وقد يأتي بالسجع الطويل، ولكنه يحدث فيه من المعادلات الداخلية ما يعود به قصيرًا، كقوله: "وليعلم أن الحر كريم الظفر إذا نال أقال، وأن العبد لئيم الظفر، إذا نال استطال"، فإن هاتين السجعتين طويلتان في الظاهر؛ ولكنك إذا تأملتهما وجدتهما تنحلان إلى أربع سجعات، ففيهما سجعتان داخليتان، وكان يلجأ إلى ذلك كثيرًا في رسائله</w:t>
            </w:r>
          </w:p>
          <w:p w:rsidR="00036D14" w:rsidRPr="009B2EB4" w:rsidRDefault="00036D14" w:rsidP="00BC7209">
            <w:pPr>
              <w:jc w:val="both"/>
              <w:rPr>
                <w:rtl/>
                <w:lang w:val="en-GB"/>
              </w:rPr>
            </w:pPr>
          </w:p>
          <w:p w:rsidR="00036D14" w:rsidRPr="001456E9" w:rsidRDefault="00036D14" w:rsidP="00BC7209">
            <w:pPr>
              <w:jc w:val="both"/>
              <w:rPr>
                <w:b/>
                <w:bCs/>
                <w:rtl/>
                <w:lang w:val="en-GB"/>
              </w:rPr>
            </w:pPr>
            <w:r>
              <w:rPr>
                <w:rFonts w:cs="Arial" w:hint="cs"/>
                <w:b/>
                <w:bCs/>
                <w:rtl/>
                <w:lang w:val="en-GB"/>
              </w:rPr>
              <w:t>نثر</w:t>
            </w:r>
            <w:r w:rsidRPr="001456E9">
              <w:rPr>
                <w:rFonts w:cs="Arial"/>
                <w:b/>
                <w:bCs/>
                <w:rtl/>
                <w:lang w:val="en-GB"/>
              </w:rPr>
              <w:t xml:space="preserve"> الخوارزمي:</w:t>
            </w:r>
          </w:p>
          <w:p w:rsidR="00036D14" w:rsidRPr="009B2EB4" w:rsidRDefault="00036D14" w:rsidP="00BC7209">
            <w:pPr>
              <w:jc w:val="both"/>
              <w:rPr>
                <w:rtl/>
                <w:lang w:val="en-GB"/>
              </w:rPr>
            </w:pPr>
          </w:p>
          <w:p w:rsidR="00036D14" w:rsidRPr="009B2EB4" w:rsidRDefault="00036D14" w:rsidP="00BC7209">
            <w:pPr>
              <w:jc w:val="both"/>
              <w:rPr>
                <w:rtl/>
                <w:lang w:val="en-GB"/>
              </w:rPr>
            </w:pPr>
            <w:r w:rsidRPr="009B2EB4">
              <w:rPr>
                <w:rFonts w:cs="Arial"/>
                <w:rtl/>
                <w:lang w:val="en-GB"/>
              </w:rPr>
              <w:t>كانت صناعة الخوارزمي في رسائل</w:t>
            </w:r>
            <w:r>
              <w:rPr>
                <w:rFonts w:cs="Arial" w:hint="cs"/>
                <w:rtl/>
                <w:lang w:val="en-GB"/>
              </w:rPr>
              <w:t>ه</w:t>
            </w:r>
            <w:r w:rsidRPr="009B2EB4">
              <w:rPr>
                <w:rFonts w:cs="Arial"/>
                <w:rtl/>
                <w:lang w:val="en-GB"/>
              </w:rPr>
              <w:t xml:space="preserve"> تقوم على التصنيع، وما يطوى فيه من سجع وبديع، على أن من يتأمل في هذه الصناعة يحس تسرب ضروب من ال</w:t>
            </w:r>
            <w:r>
              <w:rPr>
                <w:rFonts w:cs="Arial" w:hint="cs"/>
                <w:rtl/>
                <w:lang w:val="en-GB"/>
              </w:rPr>
              <w:t>ت</w:t>
            </w:r>
            <w:r w:rsidRPr="009B2EB4">
              <w:rPr>
                <w:rFonts w:cs="Arial"/>
                <w:rtl/>
                <w:lang w:val="en-GB"/>
              </w:rPr>
              <w:t>صن</w:t>
            </w:r>
            <w:r>
              <w:rPr>
                <w:rFonts w:cs="Arial" w:hint="cs"/>
                <w:rtl/>
                <w:lang w:val="en-GB"/>
              </w:rPr>
              <w:t>ّ</w:t>
            </w:r>
            <w:r w:rsidRPr="009B2EB4">
              <w:rPr>
                <w:rFonts w:cs="Arial"/>
                <w:rtl/>
                <w:lang w:val="en-GB"/>
              </w:rPr>
              <w:t>ع إليها، إذ كان الخوارزمي يعمد إلى ضروب من التهويلات والمبالغات، وكأنما قصر الموضوعات، التي كان يعالجها هو الذي أداه إلى هذه الصورة من التعبير، وانظر إليه يكتب إلى أحد تلاميذه، فيصف أيامه الماضية معه على هذا النحو:</w:t>
            </w:r>
          </w:p>
          <w:p w:rsidR="00036D14" w:rsidRPr="009B2EB4" w:rsidRDefault="00036D14" w:rsidP="00BC7209">
            <w:pPr>
              <w:jc w:val="both"/>
              <w:rPr>
                <w:rtl/>
                <w:lang w:val="en-GB"/>
              </w:rPr>
            </w:pPr>
          </w:p>
          <w:p w:rsidR="00036D14" w:rsidRPr="009B2EB4" w:rsidRDefault="00036D14" w:rsidP="00BC7209">
            <w:pPr>
              <w:jc w:val="both"/>
              <w:rPr>
                <w:rtl/>
                <w:lang w:val="en-GB"/>
              </w:rPr>
            </w:pPr>
            <w:r w:rsidRPr="009B2EB4">
              <w:rPr>
                <w:rFonts w:cs="Arial"/>
                <w:rtl/>
                <w:lang w:val="en-GB"/>
              </w:rPr>
              <w:t>"</w:t>
            </w:r>
            <w:r w:rsidRPr="009B2EB4">
              <w:rPr>
                <w:rFonts w:cs="Arial"/>
                <w:b/>
                <w:bCs/>
                <w:rtl/>
                <w:lang w:val="en-GB"/>
              </w:rPr>
              <w:t>كانت أرق من حاشية البرد، ومن طلوع السعد، وأحلى من إنجاز الوعد، وأعذب من القند2، بل من النقد، وأعبق من الورد، وما أردت إلا ورد الخد، بل من المسك والند، وأطيب من القرب بعد البعد، ومن الوصل في إثر الصد، بل كانت أرق من نسيم الزهر، في السحر، ومن قضاء الوطر، على الخطر، بل كانت أقصر من ليل السكارى، أو نهار الحيارى</w:t>
            </w:r>
            <w:r w:rsidRPr="009B2EB4">
              <w:rPr>
                <w:rFonts w:cs="Arial"/>
                <w:rtl/>
                <w:lang w:val="en-GB"/>
              </w:rPr>
              <w:t>".</w:t>
            </w:r>
          </w:p>
          <w:p w:rsidR="00036D14" w:rsidRPr="009B2EB4" w:rsidRDefault="00036D14" w:rsidP="00BC7209">
            <w:pPr>
              <w:jc w:val="both"/>
              <w:rPr>
                <w:rtl/>
                <w:lang w:val="en-GB"/>
              </w:rPr>
            </w:pPr>
          </w:p>
          <w:p w:rsidR="00036D14" w:rsidRPr="009B2EB4" w:rsidRDefault="00036D14" w:rsidP="00BC7209">
            <w:pPr>
              <w:jc w:val="both"/>
              <w:rPr>
                <w:rtl/>
                <w:lang w:val="en-GB"/>
              </w:rPr>
            </w:pPr>
            <w:r w:rsidRPr="009B2EB4">
              <w:rPr>
                <w:rFonts w:cs="Arial"/>
                <w:rtl/>
                <w:lang w:val="en-GB"/>
              </w:rPr>
              <w:t>وأنت ترى أساس هذه التعبيرات كلها أنه يهول، ويبالغ في وصف الأيام الماضية، وما كان من حسنها وجمالها، ولكن انظر كيف أطال في نعته لها، وهي إطالة مقصودة، إذ كان يقصد بها إلى بيان مهارته في صوغ هذه الأسجاع التي تتقابل تقابلًا بديعًا على النحو، فإذا هي تتألف من أسجاع دالية أول الأمر، حتى إذا أثبت تفوقه في استخدام الدال، وأسجاعها انتقل إلى الراء يحوك منها ما يريد من سجع، وهو يوشي هذا السجع كله بالجناس، والطباق، والتصوير.</w:t>
            </w:r>
          </w:p>
          <w:p w:rsidR="00036D14" w:rsidRPr="009B2EB4" w:rsidRDefault="00036D14" w:rsidP="00BC7209">
            <w:pPr>
              <w:jc w:val="both"/>
              <w:rPr>
                <w:rtl/>
                <w:lang w:val="en-GB"/>
              </w:rPr>
            </w:pPr>
          </w:p>
          <w:p w:rsidR="00036D14" w:rsidRPr="009B2EB4" w:rsidRDefault="00036D14" w:rsidP="00BC7209">
            <w:pPr>
              <w:jc w:val="both"/>
              <w:rPr>
                <w:rtl/>
                <w:lang w:val="en-GB"/>
              </w:rPr>
            </w:pPr>
            <w:r w:rsidRPr="009B2EB4">
              <w:rPr>
                <w:rFonts w:cs="Arial"/>
                <w:rtl/>
                <w:lang w:val="en-GB"/>
              </w:rPr>
              <w:t>ونحن نتساءل: ما هذه الأوصاف كلها التي "</w:t>
            </w:r>
            <w:proofErr w:type="spellStart"/>
            <w:r w:rsidRPr="009B2EB4">
              <w:rPr>
                <w:rFonts w:cs="Arial"/>
                <w:rtl/>
                <w:lang w:val="en-GB"/>
              </w:rPr>
              <w:t>يرصها</w:t>
            </w:r>
            <w:proofErr w:type="spellEnd"/>
            <w:r w:rsidRPr="009B2EB4">
              <w:rPr>
                <w:rFonts w:cs="Arial"/>
                <w:rtl/>
                <w:lang w:val="en-GB"/>
              </w:rPr>
              <w:t xml:space="preserve"> الكاتب رصًا"؟ والحق أن هذا "الرص"، وما يتبعه من تراكم العبارات أصبح أصلًا من أصول صناعة</w:t>
            </w:r>
            <w:r>
              <w:rPr>
                <w:rFonts w:hint="cs"/>
                <w:rtl/>
                <w:lang w:val="en-GB"/>
              </w:rPr>
              <w:t xml:space="preserve"> </w:t>
            </w:r>
            <w:r w:rsidRPr="009B2EB4">
              <w:rPr>
                <w:rFonts w:cs="Arial"/>
                <w:rtl/>
                <w:lang w:val="en-GB"/>
              </w:rPr>
              <w:t xml:space="preserve">الخوارزمي في رسائله، وإنا لنلمح فيه جانبًا من جوانب التصنع، وهل التصنع إلا الخروج عن الطرق الطبيعية في التعبير الفني، إما بمثل هذا التراكم للعبارات، أو بما قد يحدث من تعقيد في زخرف السجع والبديع، أو بما قد ينجم من اجتلاب ألفاظ العلوم ومصطلحاتها، ومهما يكن فنحن نقع عند الخوارزمي على هذه الحال الجديدة، التي أخذت تظهر </w:t>
            </w:r>
            <w:r w:rsidRPr="009B2EB4">
              <w:rPr>
                <w:rFonts w:cs="Arial"/>
                <w:rtl/>
                <w:lang w:val="en-GB"/>
              </w:rPr>
              <w:lastRenderedPageBreak/>
              <w:t>في مذهب التصنيع، ونقصد هذه العبارات المرصوفة، التي يتراكم بعضها على بعض، والتي يحس الإنسان أنها لا تؤدي شيئًا أسجعا، وضروب من بديع، واستمع إليه يصف قصيدة بعث له بها أحد تلاميذه:</w:t>
            </w:r>
          </w:p>
          <w:p w:rsidR="00036D14" w:rsidRPr="009B2EB4" w:rsidRDefault="00036D14" w:rsidP="00BC7209">
            <w:pPr>
              <w:jc w:val="both"/>
              <w:rPr>
                <w:rtl/>
                <w:lang w:val="en-GB"/>
              </w:rPr>
            </w:pPr>
          </w:p>
          <w:p w:rsidR="00036D14" w:rsidRPr="009B2EB4" w:rsidRDefault="00036D14" w:rsidP="00BC7209">
            <w:pPr>
              <w:jc w:val="both"/>
              <w:rPr>
                <w:rtl/>
                <w:lang w:val="en-GB"/>
              </w:rPr>
            </w:pPr>
            <w:r w:rsidRPr="009B2EB4">
              <w:rPr>
                <w:rFonts w:cs="Arial"/>
                <w:rtl/>
                <w:lang w:val="en-GB"/>
              </w:rPr>
              <w:t>"</w:t>
            </w:r>
            <w:r w:rsidRPr="009B2EB4">
              <w:rPr>
                <w:rFonts w:cs="Arial"/>
                <w:b/>
                <w:bCs/>
                <w:rtl/>
                <w:lang w:val="en-GB"/>
              </w:rPr>
              <w:t>وصلت القصيدة الغراء، الزهراء، فكانت أرق من الماء، بل من الهواء، وألذ من الصهباء، وأسر من اللقاء بين الأحباء، ومن هجوم السراء، غب الضراب، وأعذب من مغازلة النساء، ومن مجالسة الندماء، ومن مساعدة القضاء، ومن معاقرة الشراب على الغناء، ومن استماع فوائد الحكماء، وخطب البلغاء، وقلائد الشعراء، ومن أخذ جوائز الأمراء، وتحصيل مراتب الخلفاء، فكانت معانيها أبدع من الوفاء، وأعز من السخاء، وأغرب من النصفة في الأصدقاء، ومن الأمانة في الشركاء، بل أغرب من المغرب العنقاء، وألفاظها أحسن من البدر في الظلماء، وأطيب من وصال الحسناء، ومن الشماتة بالأعداء</w:t>
            </w:r>
            <w:r w:rsidRPr="009B2EB4">
              <w:rPr>
                <w:rFonts w:cs="Arial"/>
                <w:rtl/>
                <w:lang w:val="en-GB"/>
              </w:rPr>
              <w:t>".</w:t>
            </w:r>
          </w:p>
          <w:p w:rsidR="00036D14" w:rsidRPr="009B2EB4" w:rsidRDefault="00036D14" w:rsidP="00BC7209">
            <w:pPr>
              <w:jc w:val="both"/>
              <w:rPr>
                <w:rtl/>
                <w:lang w:val="en-GB"/>
              </w:rPr>
            </w:pPr>
          </w:p>
          <w:p w:rsidR="00036D14" w:rsidRPr="009B2EB4" w:rsidRDefault="00036D14" w:rsidP="00BC7209">
            <w:pPr>
              <w:jc w:val="both"/>
              <w:rPr>
                <w:rtl/>
                <w:lang w:val="en-GB"/>
              </w:rPr>
            </w:pPr>
            <w:r w:rsidRPr="009B2EB4">
              <w:rPr>
                <w:rFonts w:cs="Arial"/>
                <w:rtl/>
                <w:lang w:val="en-GB"/>
              </w:rPr>
              <w:t>أرأيت إلى هذه المبالغات، والتهويلات ورص</w:t>
            </w:r>
            <w:r>
              <w:rPr>
                <w:rFonts w:cs="Arial" w:hint="cs"/>
                <w:rtl/>
                <w:lang w:val="en-GB"/>
              </w:rPr>
              <w:t>ّ</w:t>
            </w:r>
            <w:r w:rsidRPr="009B2EB4">
              <w:rPr>
                <w:rFonts w:cs="Arial"/>
                <w:rtl/>
                <w:lang w:val="en-GB"/>
              </w:rPr>
              <w:t xml:space="preserve"> العبارات؟ إنه الأسلوب الجديد، أسلوب الرسائل الشخصية عند الأستاذ الأديب أبي بكر الخوارزمي، الذي اشتهر بالبلاغة والبيان في عصره، لما كان يسوق في رسائله من مثل هذه العبارات المرصوصة، التي تدل على التصرف والمبالغة، كما تدل على ضرب من الإفراط في استخدام الجمل، والتراكيب </w:t>
            </w:r>
            <w:proofErr w:type="spellStart"/>
            <w:r w:rsidRPr="009B2EB4">
              <w:rPr>
                <w:rFonts w:cs="Arial"/>
                <w:rtl/>
                <w:lang w:val="en-GB"/>
              </w:rPr>
              <w:t>المسجوعة</w:t>
            </w:r>
            <w:proofErr w:type="spellEnd"/>
            <w:r w:rsidRPr="009B2EB4">
              <w:rPr>
                <w:rFonts w:cs="Arial"/>
                <w:rtl/>
                <w:lang w:val="en-GB"/>
              </w:rPr>
              <w:t>، وأكبر الظن أنه كان يعمد إلى ذلك عمدًا، حتى يجمع لتلاميذه في رسائله جميع صور التعبير، التي يمكن أن يستخدموها في فكرة من الأفكار، وكأنه كان يحس أن مهمته ليست هي</w:t>
            </w:r>
            <w:r>
              <w:rPr>
                <w:rFonts w:cs="Arial" w:hint="cs"/>
                <w:rtl/>
                <w:lang w:val="en-GB"/>
              </w:rPr>
              <w:t xml:space="preserve"> </w:t>
            </w:r>
            <w:r w:rsidRPr="009B2EB4">
              <w:rPr>
                <w:rFonts w:cs="Arial"/>
                <w:rtl/>
                <w:lang w:val="en-GB"/>
              </w:rPr>
              <w:t>أن يعبر عن معان، بل هي أن يعبر عن أساليب يحفظها الطلاب، وما من شك في أن هذا كان أحد الأسباب في شيوع العبارات المحفوظة في اللغة العربية، إذ نجدها تميل منذ الخوارزمي إلى الاحتفاظ بصيغ خاصة من التعبيرات، يرددها الأدباء في كتاباتهم.</w:t>
            </w:r>
          </w:p>
          <w:p w:rsidR="00036D14" w:rsidRPr="009B2EB4" w:rsidRDefault="00036D14" w:rsidP="00BC7209">
            <w:pPr>
              <w:jc w:val="both"/>
              <w:rPr>
                <w:rtl/>
                <w:lang w:val="en-GB"/>
              </w:rPr>
            </w:pPr>
          </w:p>
          <w:p w:rsidR="00036D14" w:rsidRDefault="00036D14" w:rsidP="00BC7209">
            <w:pPr>
              <w:jc w:val="both"/>
              <w:rPr>
                <w:rFonts w:hint="cs"/>
                <w:rtl/>
                <w:lang w:val="en-GB"/>
              </w:rPr>
            </w:pPr>
            <w:r w:rsidRPr="009B2EB4">
              <w:rPr>
                <w:rFonts w:cs="Arial"/>
                <w:rtl/>
                <w:lang w:val="en-GB"/>
              </w:rPr>
              <w:t>وليس هذا كل ما يلاحظ على تصنيع الخوارزمي، وتطرفه فيه، بل إننا نلاحظ عليه أشياء أخرى، لعل في مقدمتها أنه يكثر من الإشارات التاريخية1، كما يكثر من ذكر الشعر، وهي حال أوسع من أن ندل عليها، وأيضًا فإنه كان يكثر من نثر الشعر، وإدماجه في كتابته، بل إنه ليعترف بأنه يكثر من إغارته على الكتاب، الذين سبقوه إذ يقول صراحة: "ما زلت أسرق من هذا كلمة، وأنظر من ذاك فقره، وأستعير من هناك نادرة وثيقة، أغصب الأحياء على بيانهم، وأنبش الموتى من أكفانهم"</w:t>
            </w:r>
            <w:r>
              <w:rPr>
                <w:rFonts w:cs="Arial" w:hint="cs"/>
                <w:rtl/>
                <w:lang w:val="en-GB"/>
              </w:rPr>
              <w:t>...</w:t>
            </w:r>
            <w:r w:rsidRPr="009B2EB4">
              <w:rPr>
                <w:rFonts w:cs="Arial"/>
                <w:rtl/>
                <w:lang w:val="en-GB"/>
              </w:rPr>
              <w:t xml:space="preserve"> والحق أننا نجد عند الخوارزمي ميلا واضحًا إلى الحذلقة في التعبير، وإنها لحذلقة تؤديه أحيانًا إلى أن تصنع لبعض ألفاظ من الن</w:t>
            </w:r>
            <w:r>
              <w:rPr>
                <w:rFonts w:cs="Arial" w:hint="cs"/>
                <w:rtl/>
                <w:lang w:val="en-GB"/>
              </w:rPr>
              <w:t>ح</w:t>
            </w:r>
            <w:r w:rsidRPr="009B2EB4">
              <w:rPr>
                <w:rFonts w:cs="Arial"/>
                <w:rtl/>
                <w:lang w:val="en-GB"/>
              </w:rPr>
              <w:t>و، إذ يقول لصديق له: "</w:t>
            </w:r>
            <w:r w:rsidRPr="001456E9">
              <w:rPr>
                <w:rFonts w:cs="Arial"/>
                <w:b/>
                <w:bCs/>
                <w:rtl/>
                <w:lang w:val="en-GB"/>
              </w:rPr>
              <w:t>وكيف صرت المستثنى، وقعدت على طريق إلا</w:t>
            </w:r>
            <w:r w:rsidRPr="009B2EB4">
              <w:rPr>
                <w:rFonts w:cs="Arial"/>
                <w:rtl/>
                <w:lang w:val="en-GB"/>
              </w:rPr>
              <w:t>"، وقد نحس هذه الحذلقة نفسها في رسائل التصنيع كقوله في إحدى رسائله: "</w:t>
            </w:r>
            <w:r w:rsidRPr="001456E9">
              <w:rPr>
                <w:rFonts w:cs="Arial"/>
                <w:b/>
                <w:bCs/>
                <w:rtl/>
                <w:lang w:val="en-GB"/>
              </w:rPr>
              <w:t>لقد أراحني الشيخ ببره، لا بل أتعبني بشكره، وفزعني بصادق قيامه لا بل شغلني بتعديد إحسانه وإنعامه، وخفف ظهري من ثقل المحن، لا بل أثقله بأعباء المنن، وأحياني بحقيق الرجاء، لا بل أماتني بقرط الحياء</w:t>
            </w:r>
            <w:r w:rsidRPr="009B2EB4">
              <w:rPr>
                <w:rFonts w:cs="Arial"/>
                <w:rtl/>
                <w:lang w:val="en-GB"/>
              </w:rPr>
              <w:t>"</w:t>
            </w:r>
            <w:r>
              <w:rPr>
                <w:rFonts w:cs="Arial" w:hint="cs"/>
                <w:rtl/>
                <w:lang w:val="en-GB"/>
              </w:rPr>
              <w:t>.</w:t>
            </w:r>
            <w:r w:rsidRPr="009B2EB4">
              <w:rPr>
                <w:rFonts w:cs="Arial"/>
                <w:rtl/>
                <w:lang w:val="en-GB"/>
              </w:rPr>
              <w:t xml:space="preserve"> وعلى هذا النحو نحس دائمًا بضروب من التصنع تتسرب إلى صناعة الخوارزمي، وهي صناعة كانت تقوم على التصنيع، ولكنها أخذت تظهر فيها بعض شيات التصنّع وسماته، مما يدل على أننا وصلنا من التصنيع إلى هذه المنطقة، التي يختلط فيها المذهب بمقدمات مذهب آخر، وهي مقدمات ما تزال تتسع، حتى ينفذ منها الأدباء إلى إحداث المذهب الجديد، ونحن لا نصل إلى أواخر القرن الرابع حتى نجد الرغبات تتكامل للخروج، ومن مذهب التصنيع القديم إلى مذهب جديد من التصنع، وهو مذهب كان يقوم على التعقيد في الأسلوب، والأداء، وما من ريب في أن الخوارزمي عن شيء من هذه الرغبات مع أن فنه عامة يندمج في مذهب التصنّع.</w:t>
            </w:r>
          </w:p>
        </w:tc>
      </w:tr>
    </w:tbl>
    <w:p w:rsidR="00036D14" w:rsidRDefault="00036D14">
      <w:bookmarkStart w:id="0" w:name="_GoBack"/>
      <w:bookmarkEnd w:id="0"/>
    </w:p>
    <w:sectPr w:rsidR="00036D14" w:rsidSect="00512DFC">
      <w:pgSz w:w="11900" w:h="16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14"/>
    <w:rsid w:val="00036D14"/>
    <w:rsid w:val="00512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63EA825-0350-304C-918C-893D7377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D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36D14"/>
    <w:rPr>
      <w:color w:val="0563C1" w:themeColor="hyperlink"/>
      <w:u w:val="single"/>
    </w:rPr>
  </w:style>
  <w:style w:type="table" w:styleId="a3">
    <w:name w:val="Table Grid"/>
    <w:basedOn w:val="a1"/>
    <w:uiPriority w:val="39"/>
    <w:rsid w:val="0003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maktaba.org/book/11544/231#p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1052</Words>
  <Characters>6039</Characters>
  <Application>Microsoft Office Word</Application>
  <DocSecurity>0</DocSecurity>
  <Lines>172</Lines>
  <Paragraphs>122</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Alfaify</dc:creator>
  <cp:keywords/>
  <dc:description/>
  <cp:lastModifiedBy>Hasan Alfaify</cp:lastModifiedBy>
  <cp:revision>1</cp:revision>
  <dcterms:created xsi:type="dcterms:W3CDTF">2020-11-01T18:40:00Z</dcterms:created>
  <dcterms:modified xsi:type="dcterms:W3CDTF">2020-11-01T18:43:00Z</dcterms:modified>
</cp:coreProperties>
</file>