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8411"/>
        <w:gridCol w:w="769"/>
      </w:tblGrid>
      <w:tr w:rsidR="00E53938" w:rsidRPr="00C85736" w:rsidTr="00E53938">
        <w:trPr>
          <w:trHeight w:val="738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</w:rPr>
              <w:t>Week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</w:rPr>
              <w:t>Practical lesson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</w:rPr>
              <w:t>No. of hours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E53938" w:rsidRPr="00C85736" w:rsidTr="00E53938">
        <w:trPr>
          <w:trHeight w:val="624"/>
        </w:trPr>
        <w:tc>
          <w:tcPr>
            <w:tcW w:w="1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8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Introduction to QC and QA in cytolopathogy laboratory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Demonstration of Papanicolaou staining method 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Collection of specimen from the oral bucal cavity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Demonstration of cytology gynecology microscopic pictures (power point)           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Screening of normal Epithelial cells …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54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Hormonal Evaluation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Practice screening…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443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Mid-term examination  (screening)                                                       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1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417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Introduction to gynecological  and non-gynecology  Inflammation 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Practice screening…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Practice screening of Inflammatory slides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Gyn and Non-gynecology slides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Criteria of Gyn-malignancy 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Practice screening………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9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Criteria of Non-gynecology malignancy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Practice screening………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38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Screening slides from  FNA material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389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Revision ………………..screening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479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12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Final Papanicolaou staining + side question “QC and QA”                 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13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Final examination (power point)                                                              </w:t>
            </w:r>
          </w:p>
          <w:p w:rsidR="00E53938" w:rsidRPr="00C85736" w:rsidRDefault="00E53938" w:rsidP="00E5393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Normal epithelial cells          2.Inflammation     3. Malignancy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Final screening examination: 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1.Inflammation     2. Malignancy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color w:val="000000"/>
                <w:kern w:val="24"/>
              </w:rPr>
              <w:t>2</w:t>
            </w:r>
            <w:r w:rsidRPr="00C85736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</w:tr>
      <w:tr w:rsidR="00E53938" w:rsidRPr="00C85736" w:rsidTr="00E53938">
        <w:trPr>
          <w:trHeight w:val="76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14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Checking the practical examination</w:t>
            </w:r>
          </w:p>
          <w:p w:rsidR="00E53938" w:rsidRPr="00C85736" w:rsidRDefault="00E53938" w:rsidP="003857C1">
            <w:pPr>
              <w:bidi w:val="0"/>
              <w:spacing w:after="0"/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Submission of the final marks to designated doctor.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53938" w:rsidRPr="00C85736" w:rsidRDefault="00E53938" w:rsidP="003857C1">
            <w:pPr>
              <w:bidi w:val="0"/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:rsidR="006E5E64" w:rsidRDefault="006E5E64">
      <w:pPr>
        <w:rPr>
          <w:rFonts w:hint="cs"/>
          <w:rtl/>
        </w:rPr>
      </w:pPr>
    </w:p>
    <w:p w:rsidR="00094444" w:rsidRDefault="00094444">
      <w:pPr>
        <w:rPr>
          <w:rFonts w:hint="cs"/>
          <w:rtl/>
        </w:rPr>
      </w:pPr>
    </w:p>
    <w:p w:rsidR="00094444" w:rsidRDefault="00094444">
      <w:pPr>
        <w:rPr>
          <w:rFonts w:hint="cs"/>
          <w:rtl/>
        </w:rPr>
      </w:pPr>
    </w:p>
    <w:p w:rsidR="00094444" w:rsidRDefault="00094444">
      <w:pPr>
        <w:rPr>
          <w:rFonts w:hint="cs"/>
          <w:rtl/>
        </w:rPr>
      </w:pPr>
    </w:p>
    <w:tbl>
      <w:tblPr>
        <w:tblW w:w="10836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530"/>
        <w:gridCol w:w="4867"/>
        <w:gridCol w:w="1559"/>
      </w:tblGrid>
      <w:tr w:rsidR="00094444" w:rsidRPr="00C85736" w:rsidTr="00D67872">
        <w:trPr>
          <w:trHeight w:val="91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32"/>
                <w:szCs w:val="32"/>
              </w:rPr>
              <w:t>Practical Examination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32"/>
                <w:szCs w:val="32"/>
              </w:rPr>
              <w:t>Week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FFFFFF"/>
                <w:kern w:val="24"/>
                <w:sz w:val="32"/>
                <w:szCs w:val="32"/>
              </w:rPr>
              <w:t xml:space="preserve">                                                                       30%                                 </w:t>
            </w:r>
            <w:r w:rsidRPr="00C85736">
              <w:rPr>
                <w:rFonts w:eastAsia="Calibri" w:cstheme="minorHAnsi"/>
                <w:b/>
                <w:bCs/>
                <w:color w:val="FFFFFF"/>
                <w:kern w:val="24"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094444" w:rsidRPr="00C85736" w:rsidTr="00D67872">
        <w:trPr>
          <w:trHeight w:val="2561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Mid-term examination         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Final staining examination                             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week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week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Screening epithelial cells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(hormonal evaluation)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Papanicolaou stain method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 ( QC &amp; QA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5marks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5marks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094444" w:rsidRPr="00C85736" w:rsidTr="00D67872">
        <w:trPr>
          <w:trHeight w:val="1257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Final screening examination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 xml:space="preserve">th 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week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Inflammation, malignancy 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Gynecology &amp; non-gyn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Identification &amp; diagnosis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10marks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094444" w:rsidRPr="00C85736" w:rsidTr="00D67872">
        <w:trPr>
          <w:trHeight w:val="1685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Final Power point examination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week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Epithelial cells, 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Hormonal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Inflammation</w:t>
            </w:r>
          </w:p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Malignancy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>10marks</w:t>
            </w:r>
            <w:r w:rsidRPr="00C85736">
              <w:rPr>
                <w:rFonts w:eastAsia="Calibri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094444" w:rsidRPr="00C85736" w:rsidTr="00D67872">
        <w:trPr>
          <w:trHeight w:val="91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                                            Total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94444" w:rsidRPr="00C85736" w:rsidRDefault="00094444" w:rsidP="00D67872">
            <w:pPr>
              <w:bidi w:val="0"/>
              <w:spacing w:after="0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85736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</w:rPr>
              <w:t xml:space="preserve">30% </w:t>
            </w:r>
          </w:p>
        </w:tc>
      </w:tr>
    </w:tbl>
    <w:p w:rsidR="00094444" w:rsidRPr="00E53938" w:rsidRDefault="00094444">
      <w:pPr>
        <w:rPr>
          <w:rFonts w:hint="cs"/>
        </w:rPr>
      </w:pPr>
    </w:p>
    <w:sectPr w:rsidR="00094444" w:rsidRPr="00E53938" w:rsidSect="0066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4E" w:rsidRDefault="00E5494E" w:rsidP="00E53938">
      <w:pPr>
        <w:spacing w:after="0" w:line="240" w:lineRule="auto"/>
      </w:pPr>
      <w:r>
        <w:separator/>
      </w:r>
    </w:p>
  </w:endnote>
  <w:endnote w:type="continuationSeparator" w:id="1">
    <w:p w:rsidR="00E5494E" w:rsidRDefault="00E5494E" w:rsidP="00E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4E" w:rsidRDefault="00E5494E" w:rsidP="00E53938">
      <w:pPr>
        <w:spacing w:after="0" w:line="240" w:lineRule="auto"/>
      </w:pPr>
      <w:r>
        <w:separator/>
      </w:r>
    </w:p>
  </w:footnote>
  <w:footnote w:type="continuationSeparator" w:id="1">
    <w:p w:rsidR="00E5494E" w:rsidRDefault="00E5494E" w:rsidP="00E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8" w:rsidRDefault="00E53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96E"/>
    <w:multiLevelType w:val="hybridMultilevel"/>
    <w:tmpl w:val="A0A2D464"/>
    <w:lvl w:ilvl="0" w:tplc="755E2F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938"/>
    <w:rsid w:val="00094444"/>
    <w:rsid w:val="000F013F"/>
    <w:rsid w:val="00152AE9"/>
    <w:rsid w:val="00663475"/>
    <w:rsid w:val="006E5E64"/>
    <w:rsid w:val="00745EAC"/>
    <w:rsid w:val="00E53938"/>
    <w:rsid w:val="00E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38"/>
  </w:style>
  <w:style w:type="paragraph" w:styleId="Footer">
    <w:name w:val="footer"/>
    <w:basedOn w:val="Normal"/>
    <w:link w:val="FooterChar"/>
    <w:uiPriority w:val="99"/>
    <w:semiHidden/>
    <w:unhideWhenUsed/>
    <w:rsid w:val="00E53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Mo0oN</dc:creator>
  <cp:lastModifiedBy>Mo0oN</cp:lastModifiedBy>
  <cp:revision>2</cp:revision>
  <dcterms:created xsi:type="dcterms:W3CDTF">2012-09-02T19:24:00Z</dcterms:created>
  <dcterms:modified xsi:type="dcterms:W3CDTF">2012-09-02T19:55:00Z</dcterms:modified>
</cp:coreProperties>
</file>