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tblW w:w="9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666"/>
        <w:gridCol w:w="1285"/>
        <w:gridCol w:w="1701"/>
        <w:gridCol w:w="6176"/>
      </w:tblGrid>
      <w:tr w:rsidR="00DC680C" w:rsidRPr="007D67EB" w:rsidTr="008F6A29">
        <w:trPr>
          <w:trHeight w:val="410"/>
        </w:trPr>
        <w:tc>
          <w:tcPr>
            <w:tcW w:w="982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821997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254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255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A0042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Dictionary Skills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 Syllabus </w:t>
            </w:r>
          </w:p>
          <w:p w:rsidR="00DC680C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</w:pP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(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Spring 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20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13)</w:t>
            </w:r>
          </w:p>
          <w:p w:rsidR="00DC680C" w:rsidRPr="000D166F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0"/>
                <w:szCs w:val="10"/>
                <w:lang w:eastAsia="en-GB"/>
              </w:rPr>
            </w:pPr>
          </w:p>
        </w:tc>
      </w:tr>
      <w:tr w:rsidR="00DC680C" w:rsidRPr="007D67EB" w:rsidTr="008F6A29">
        <w:trPr>
          <w:trHeight w:val="406"/>
        </w:trPr>
        <w:tc>
          <w:tcPr>
            <w:tcW w:w="666" w:type="dxa"/>
            <w:shd w:val="clear" w:color="auto" w:fill="595959"/>
            <w:vAlign w:val="center"/>
          </w:tcPr>
          <w:p w:rsidR="00DC680C" w:rsidRPr="008B4406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285" w:type="dxa"/>
            <w:shd w:val="clear" w:color="auto" w:fill="595959"/>
            <w:vAlign w:val="center"/>
          </w:tcPr>
          <w:p w:rsidR="00DC680C" w:rsidRPr="008B4406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1701" w:type="dxa"/>
            <w:shd w:val="clear" w:color="auto" w:fill="595959"/>
            <w:vAlign w:val="center"/>
          </w:tcPr>
          <w:p w:rsidR="00DC680C" w:rsidRPr="008B4406" w:rsidRDefault="00DC680C" w:rsidP="008F6A2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  <w:proofErr w:type="spellEnd"/>
          </w:p>
        </w:tc>
        <w:tc>
          <w:tcPr>
            <w:tcW w:w="6176" w:type="dxa"/>
            <w:shd w:val="clear" w:color="auto" w:fill="595959"/>
            <w:vAlign w:val="center"/>
          </w:tcPr>
          <w:p w:rsidR="00DC680C" w:rsidRPr="008B4406" w:rsidRDefault="00DC680C" w:rsidP="008F6A2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</w:tc>
      </w:tr>
      <w:tr w:rsidR="00DC680C" w:rsidRPr="007D67EB" w:rsidTr="008F6A29">
        <w:tc>
          <w:tcPr>
            <w:tcW w:w="666" w:type="dxa"/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bookmarkStart w:id="0" w:name="_GoBack"/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DC680C" w:rsidRPr="00087C41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rtl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Jan. 26</w:t>
            </w:r>
          </w:p>
          <w:p w:rsidR="00DC680C" w:rsidRPr="00087C41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14</w:t>
            </w:r>
          </w:p>
        </w:tc>
        <w:tc>
          <w:tcPr>
            <w:tcW w:w="6176" w:type="dxa"/>
            <w:vAlign w:val="center"/>
          </w:tcPr>
          <w:p w:rsidR="00DC680C" w:rsidRPr="00E568F9" w:rsidRDefault="00DC680C" w:rsidP="008F6A29">
            <w:pPr>
              <w:pStyle w:val="NoSpacing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E568F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Registration Week (Dropping/Adding Courses)</w:t>
            </w:r>
          </w:p>
        </w:tc>
      </w:tr>
      <w:tr w:rsidR="00DC680C" w:rsidRPr="007D67EB" w:rsidTr="008F6A29">
        <w:tc>
          <w:tcPr>
            <w:tcW w:w="666" w:type="dxa"/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2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21</w:t>
            </w:r>
          </w:p>
        </w:tc>
        <w:tc>
          <w:tcPr>
            <w:tcW w:w="6176" w:type="dxa"/>
            <w:vAlign w:val="center"/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bCs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Introduction</w:t>
            </w:r>
          </w:p>
        </w:tc>
      </w:tr>
      <w:tr w:rsidR="00DC680C" w:rsidRPr="007D67EB" w:rsidTr="008F6A29">
        <w:tc>
          <w:tcPr>
            <w:tcW w:w="666" w:type="dxa"/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9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28</w:t>
            </w:r>
          </w:p>
        </w:tc>
        <w:tc>
          <w:tcPr>
            <w:tcW w:w="6176" w:type="dxa"/>
            <w:vAlign w:val="center"/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bCs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Dictionary Skills: An Introduction</w:t>
            </w:r>
          </w:p>
        </w:tc>
      </w:tr>
      <w:tr w:rsidR="00DC680C" w:rsidRPr="007D67EB" w:rsidTr="008F6A29">
        <w:tc>
          <w:tcPr>
            <w:tcW w:w="666" w:type="dxa"/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16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Sat.,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Rab2. 6</w:t>
            </w:r>
          </w:p>
        </w:tc>
        <w:tc>
          <w:tcPr>
            <w:tcW w:w="6176" w:type="dxa"/>
            <w:vAlign w:val="center"/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rFonts w:cs="Calibri"/>
                <w:b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1: The Dictionary Entry</w:t>
            </w:r>
          </w:p>
        </w:tc>
      </w:tr>
      <w:tr w:rsidR="00DC680C" w:rsidRPr="007D67EB" w:rsidTr="008F6A29">
        <w:tc>
          <w:tcPr>
            <w:tcW w:w="666" w:type="dxa"/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23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Sat.,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Rab2. 13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jc w:val="center"/>
              <w:rPr>
                <w:bCs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2: The Dictionary &amp; Writing</w:t>
            </w:r>
          </w:p>
        </w:tc>
      </w:tr>
      <w:tr w:rsidR="00DC680C" w:rsidRPr="007D67EB" w:rsidTr="008F6A29">
        <w:tc>
          <w:tcPr>
            <w:tcW w:w="666" w:type="dxa"/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2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Rab2. 20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bCs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2: The Dictionary &amp; Writing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9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Rab2. 27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CF46EC" w:rsidRPr="00DF02D4" w:rsidRDefault="00CF46EC" w:rsidP="00CF46EC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01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3A01B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st</w:t>
            </w:r>
            <w:r w:rsidRPr="003A01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In-Term</w:t>
            </w:r>
          </w:p>
          <w:p w:rsidR="00DC680C" w:rsidRPr="00E568F9" w:rsidRDefault="00CF46EC" w:rsidP="00CF46EC">
            <w:pPr>
              <w:pStyle w:val="NoSpacing"/>
              <w:jc w:val="center"/>
              <w:rPr>
                <w:bCs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3: The Dictionary &amp; Speaking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8879CF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16</w:t>
            </w:r>
          </w:p>
          <w:p w:rsidR="00DC680C" w:rsidRPr="008879CF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rFonts w:asciiTheme="minorHAnsi" w:hAnsiTheme="minorHAnsi" w:cstheme="minorBidi"/>
                <w:b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3: The Dictionary &amp; Speaking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23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11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C680C" w:rsidRPr="00E568F9" w:rsidRDefault="00DC680C" w:rsidP="008F6A29">
            <w:pPr>
              <w:pStyle w:val="NoSpacing"/>
              <w:jc w:val="center"/>
              <w:rPr>
                <w:rFonts w:asciiTheme="minorHAnsi" w:hAnsiTheme="minorHAnsi" w:cstheme="minorBidi"/>
                <w:color w:val="000000" w:themeColor="text1"/>
                <w:rtl/>
              </w:rPr>
            </w:pPr>
            <w:r w:rsidRPr="00E568F9">
              <w:rPr>
                <w:rStyle w:val="Strong"/>
                <w:rFonts w:asciiTheme="minorHAnsi" w:hAnsiTheme="minorHAnsi" w:cs="Traditional Arabic"/>
                <w:rtl/>
              </w:rPr>
              <w:t>إجازة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30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18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3: The Dictionary &amp; Speaking</w:t>
            </w:r>
          </w:p>
        </w:tc>
      </w:tr>
      <w:tr w:rsidR="00DC680C" w:rsidRPr="007D67EB" w:rsidTr="008F6A29">
        <w:trPr>
          <w:trHeight w:val="390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087C41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6</w:t>
            </w:r>
          </w:p>
          <w:p w:rsidR="00DC680C" w:rsidRPr="00087C41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25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jc w:val="center"/>
              <w:rPr>
                <w:b/>
                <w:color w:val="000000"/>
                <w:rtl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3: The Dictionary &amp; Speaking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13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Default="00CF46EC" w:rsidP="008F6A2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4: The Dictionary &amp; Grammar</w:t>
            </w:r>
          </w:p>
          <w:p w:rsidR="00CF46EC" w:rsidRPr="00CF46EC" w:rsidRDefault="00CF46EC" w:rsidP="008F6A29">
            <w:pPr>
              <w:pStyle w:val="NoSpacing"/>
              <w:jc w:val="center"/>
              <w:rPr>
                <w:bCs/>
                <w:color w:val="000000"/>
                <w:u w:val="single"/>
                <w:rtl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Quiz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20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bidi w:val="0"/>
              <w:jc w:val="center"/>
              <w:rPr>
                <w:b/>
                <w:color w:val="000000"/>
                <w:rtl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4: The Dictionary &amp; Grammar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8879CF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27</w:t>
            </w:r>
          </w:p>
          <w:p w:rsidR="00DC680C" w:rsidRPr="008879CF" w:rsidRDefault="00DC680C" w:rsidP="008F6A29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jc w:val="center"/>
              <w:rPr>
                <w:rtl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5: The Meanings of Words &amp; Phrases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May 4</w:t>
            </w:r>
          </w:p>
          <w:p w:rsidR="00DC680C" w:rsidRPr="00A95D54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24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CF46EC" w:rsidRDefault="00CF46EC" w:rsidP="00CF46E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D1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</w:t>
            </w:r>
            <w:r w:rsidRPr="00D1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vertAlign w:val="superscript"/>
              </w:rPr>
              <w:t>nd</w:t>
            </w:r>
            <w:r w:rsidRPr="00D1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In-Term</w:t>
            </w:r>
          </w:p>
          <w:p w:rsidR="00DC680C" w:rsidRPr="00E568F9" w:rsidRDefault="00CF46EC" w:rsidP="00CF46EC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Dictionary Exercise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 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May 11</w:t>
            </w:r>
          </w:p>
          <w:p w:rsidR="00DC680C" w:rsidRPr="00A95D54" w:rsidRDefault="00DC680C" w:rsidP="008F6A29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:rsidR="00DC680C" w:rsidRPr="00F6685E" w:rsidRDefault="00DC680C" w:rsidP="008F6A29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Rajab 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DC680C" w:rsidRPr="00E568F9" w:rsidRDefault="00CF46EC" w:rsidP="008F6A29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rtl/>
              </w:rPr>
            </w:pPr>
            <w:r>
              <w:rPr>
                <w:b/>
                <w:color w:val="000000"/>
              </w:rPr>
              <w:t>Revision</w:t>
            </w:r>
          </w:p>
        </w:tc>
      </w:tr>
      <w:tr w:rsidR="00DC680C" w:rsidRPr="007D67EB" w:rsidTr="008F6A2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DC680C" w:rsidRPr="00A95D54" w:rsidRDefault="00DC680C" w:rsidP="008F6A2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986" w:type="dxa"/>
            <w:gridSpan w:val="2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DC680C" w:rsidRPr="00280FA0" w:rsidRDefault="00DC680C" w:rsidP="008F6A29">
            <w:pPr>
              <w:pStyle w:val="NoSpacing"/>
              <w:jc w:val="center"/>
              <w:rPr>
                <w:b/>
                <w:bCs/>
                <w:sz w:val="2"/>
                <w:szCs w:val="2"/>
                <w:lang w:eastAsia="en-GB"/>
              </w:rPr>
            </w:pPr>
          </w:p>
          <w:p w:rsidR="00DC680C" w:rsidRDefault="00DC680C" w:rsidP="008F6A29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 May 18 – May 25 – June 1 ---</w:t>
            </w:r>
          </w:p>
          <w:p w:rsidR="00DC680C" w:rsidRPr="00280FA0" w:rsidRDefault="00DC680C" w:rsidP="008F6A29">
            <w:pPr>
              <w:pStyle w:val="NoSpacing"/>
              <w:jc w:val="both"/>
              <w:rPr>
                <w:rFonts w:cs="Calibri"/>
                <w:b/>
                <w:bCs/>
                <w:sz w:val="2"/>
                <w:szCs w:val="2"/>
              </w:rPr>
            </w:pP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DC680C" w:rsidRPr="00E568F9" w:rsidRDefault="00DC680C" w:rsidP="008F6A29">
            <w:pPr>
              <w:pStyle w:val="NoSpacing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68F9">
              <w:rPr>
                <w:rFonts w:asciiTheme="minorHAnsi" w:hAnsiTheme="minorHAnsi" w:cstheme="minorHAnsi"/>
                <w:iCs/>
              </w:rPr>
              <w:sym w:font="Wingdings" w:char="F040"/>
            </w:r>
            <w:r w:rsidRPr="00E568F9">
              <w:rPr>
                <w:rFonts w:asciiTheme="minorHAnsi" w:hAnsiTheme="minorHAnsi" w:cstheme="minorHAnsi"/>
                <w:iCs/>
              </w:rPr>
              <w:t xml:space="preserve">... </w:t>
            </w:r>
            <w:r w:rsidRPr="00E568F9">
              <w:rPr>
                <w:rFonts w:asciiTheme="minorHAnsi" w:hAnsiTheme="minorHAnsi" w:cstheme="minorHAnsi"/>
                <w:b/>
                <w:bCs/>
                <w:i/>
              </w:rPr>
              <w:t>Exams</w:t>
            </w:r>
          </w:p>
        </w:tc>
      </w:tr>
      <w:tr w:rsidR="00DC680C" w:rsidRPr="007D67EB" w:rsidTr="008F6A29">
        <w:trPr>
          <w:trHeight w:val="337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DC680C" w:rsidRPr="00E568F9" w:rsidRDefault="00DC680C" w:rsidP="008F6A29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  <w:p w:rsidR="00DC680C" w:rsidRPr="00E568F9" w:rsidRDefault="00DC680C" w:rsidP="008F6A29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E568F9">
              <w:rPr>
                <w:rFonts w:asciiTheme="minorHAnsi" w:hAnsiTheme="minorHAnsi"/>
                <w:b/>
                <w:bCs/>
                <w:color w:val="FFFFFF" w:themeColor="background1"/>
              </w:rPr>
              <w:t>1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  <w:vertAlign w:val="superscript"/>
              </w:rPr>
              <w:t>st</w:t>
            </w: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In-term Exam:</w:t>
            </w:r>
            <w:r w:rsidR="0054415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25</w:t>
            </w:r>
            <w:r w:rsidR="00CF46E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pts.</w:t>
            </w: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  <w:r w:rsidR="00CF46E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         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2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  <w:vertAlign w:val="superscript"/>
              </w:rPr>
              <w:t>nd</w:t>
            </w:r>
            <w:r w:rsidR="0054415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In-term Exam: 25</w:t>
            </w:r>
            <w:r w:rsidR="00CF46E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pts.        Quiz</w:t>
            </w:r>
            <w:proofErr w:type="gramStart"/>
            <w:r w:rsidR="00CF46EC">
              <w:rPr>
                <w:rFonts w:asciiTheme="minorHAnsi" w:hAnsiTheme="minorHAnsi"/>
                <w:b/>
                <w:bCs/>
                <w:color w:val="FFFFFF" w:themeColor="background1"/>
              </w:rPr>
              <w:t>:10</w:t>
            </w:r>
            <w:proofErr w:type="gramEnd"/>
            <w:r w:rsidR="00CF46E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pts.</w:t>
            </w: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  <w:r w:rsidR="00CF46E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    </w:t>
            </w:r>
            <w:r w:rsidRPr="00E568F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Final Exam: 40 pts.</w:t>
            </w:r>
          </w:p>
          <w:p w:rsidR="00DC680C" w:rsidRPr="00E568F9" w:rsidRDefault="00DC680C" w:rsidP="008F6A29">
            <w:pPr>
              <w:pStyle w:val="NoSpacing"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</w:tr>
      <w:tr w:rsidR="00DC680C" w:rsidRPr="007D67EB" w:rsidTr="008F6A29">
        <w:trPr>
          <w:trHeight w:val="337"/>
        </w:trPr>
        <w:tc>
          <w:tcPr>
            <w:tcW w:w="9828" w:type="dxa"/>
            <w:gridSpan w:val="4"/>
            <w:shd w:val="clear" w:color="auto" w:fill="595959"/>
          </w:tcPr>
          <w:p w:rsidR="00DC680C" w:rsidRPr="00E568F9" w:rsidRDefault="00DC680C" w:rsidP="00CF46EC">
            <w:pPr>
              <w:pStyle w:val="NoSpacing"/>
              <w:jc w:val="both"/>
              <w:rPr>
                <w:rFonts w:asciiTheme="minorHAnsi" w:hAnsiTheme="minorHAnsi"/>
                <w:b/>
                <w:bCs/>
                <w:color w:val="FFFFFF" w:themeColor="background1"/>
                <w:u w:val="single"/>
                <w:rtl/>
              </w:rPr>
            </w:pPr>
          </w:p>
        </w:tc>
      </w:tr>
      <w:bookmarkEnd w:id="0"/>
    </w:tbl>
    <w:p w:rsidR="0077384A" w:rsidRDefault="0077384A"/>
    <w:sectPr w:rsidR="0077384A" w:rsidSect="000E42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imes New Roman"/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C680C"/>
    <w:rsid w:val="000E42AD"/>
    <w:rsid w:val="004477FC"/>
    <w:rsid w:val="00544153"/>
    <w:rsid w:val="0077384A"/>
    <w:rsid w:val="007A0042"/>
    <w:rsid w:val="00CF46EC"/>
    <w:rsid w:val="00D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0C"/>
    <w:pPr>
      <w:bidi/>
      <w:spacing w:after="200" w:line="276" w:lineRule="auto"/>
      <w:jc w:val="right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680C"/>
    <w:pPr>
      <w:bidi/>
      <w:jc w:val="right"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C680C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DC680C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0C"/>
    <w:pPr>
      <w:bidi/>
      <w:spacing w:after="200" w:line="276" w:lineRule="auto"/>
      <w:jc w:val="right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680C"/>
    <w:pPr>
      <w:bidi/>
      <w:jc w:val="right"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C680C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DC680C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Noura Alsultan</cp:lastModifiedBy>
  <cp:revision>4</cp:revision>
  <dcterms:created xsi:type="dcterms:W3CDTF">2013-02-01T21:10:00Z</dcterms:created>
  <dcterms:modified xsi:type="dcterms:W3CDTF">2013-02-05T05:56:00Z</dcterms:modified>
</cp:coreProperties>
</file>