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>KING SAUD UNIVERSITY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College of Dentistry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Department of Preventive Dental Sciences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>DIVISION OF ORTHODONTICS</w:t>
      </w:r>
      <w:r w:rsidRPr="00742316">
        <w:rPr>
          <w:rFonts w:ascii="Tahoma" w:eastAsia="Times New Roman" w:hAnsi="Tahoma" w:cs="Tahoma"/>
          <w:i/>
          <w:iCs/>
          <w:color w:val="666666"/>
          <w:sz w:val="32"/>
          <w:szCs w:val="32"/>
        </w:rPr>
        <w:t xml:space="preserve"> 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Final Examination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742316">
        <w:rPr>
          <w:rFonts w:ascii="Times" w:eastAsia="Times New Roman" w:hAnsi="Times" w:cs="Times"/>
          <w:b/>
          <w:bCs/>
          <w:color w:val="666666"/>
          <w:sz w:val="36"/>
          <w:szCs w:val="36"/>
        </w:rPr>
        <w:t>PDS 43</w:t>
      </w:r>
      <w:r>
        <w:rPr>
          <w:rFonts w:ascii="Times" w:eastAsia="Times New Roman" w:hAnsi="Times" w:cs="Times"/>
          <w:b/>
          <w:bCs/>
          <w:color w:val="666666"/>
          <w:sz w:val="36"/>
          <w:szCs w:val="36"/>
        </w:rPr>
        <w:t>1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>Name: _________________________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>Computer No.: _________________________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 xml:space="preserve">Date: 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 xml:space="preserve">Time Allowed: 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32"/>
          <w:szCs w:val="32"/>
        </w:rPr>
        <w:t xml:space="preserve">No. of Pages: </w:t>
      </w:r>
      <w:r w:rsidRPr="00742316">
        <w:rPr>
          <w:rFonts w:ascii="Tahoma" w:eastAsia="Times New Roman" w:hAnsi="Tahoma" w:cs="Tahoma"/>
          <w:color w:val="666666"/>
          <w:sz w:val="32"/>
          <w:szCs w:val="32"/>
          <w:u w:val="single"/>
        </w:rPr>
        <w:t>including cover page</w:t>
      </w:r>
      <w:r w:rsidRPr="00742316">
        <w:rPr>
          <w:rFonts w:ascii="Tahoma" w:eastAsia="Times New Roman" w:hAnsi="Tahoma" w:cs="Tahoma"/>
          <w:color w:val="666666"/>
          <w:sz w:val="32"/>
          <w:szCs w:val="32"/>
        </w:rPr>
        <w:t xml:space="preserve"> 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9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1.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When deciduous molars are extracted, spaces in the upper arch close more rapidly than the lower arch. Due to the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mesial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migration of the permanent first molars in these cases, placing space maintainers is useless.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 The size of the leeway space in an average Caucasian subject is usually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between: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17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-20 mm.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21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-22 mm.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25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-27 mm.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There is no average since it varies from each individual.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9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3.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Serial extraction in a child is usually indicated in: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9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Class 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9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Class II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9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Class III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9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Not recommended as a form of preventive treatment.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9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4.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Extraction of a lower first molar usually leads to deepening of the incisor overbite. On the other hand, extraction of the upper first molar usually does not: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9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9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9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ind w:left="189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9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5.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Extraction of an upper first deciduous molar in a Class I malocclusion should be balanced by extracting the first deciduous molar on the other side, and also extracting in the lower arch. 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81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a) Statement is true b) Statement is false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6. </w:t>
      </w: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The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most commonly missing tooth is the: 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Upper second premolar.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Lower second molar.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Lower central incisor.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Upper lateral incisor.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7. The tooth most commonly associated with delayed eruption is the: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Lower second premolar.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Upper second molar.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Upper canine.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Lower second molar.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8. When deciding to place an implant, it is best to wait until growth has completed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first. In those cases, we should extract the </w:t>
      </w: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poorly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prognosed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tooth or the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deciduous tooth early during orthodontic treatment so as to prepare the site for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the future implant: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9. When an anterior tooth is missing, space opening for an artificial replacement is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recommended in: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a) Class 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b) Class II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c) Class III malocclusions.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d) </w:t>
      </w: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b.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e) </w:t>
      </w: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c.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f) </w:t>
      </w: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c.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10. When performing preparatory orthodontic treatment for placement of an implant,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the roots of the adjacent teeth need to be diverged: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At least 1 mm.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At least 3 mm's.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At least 5 mm's.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Does not have to be diverged since the implants nowadays come in very small sizes.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 xml:space="preserve">11. Occlusion is thought to play a major role in the causation of </w:t>
      </w:r>
      <w:proofErr w:type="spellStart"/>
      <w:r w:rsidRPr="00742316">
        <w:rPr>
          <w:rFonts w:ascii="Tahoma" w:eastAsia="Times New Roman" w:hAnsi="Tahoma" w:cs="Tahoma"/>
          <w:color w:val="666666"/>
          <w:sz w:val="18"/>
          <w:szCs w:val="18"/>
        </w:rPr>
        <w:t>temporomandibular</w:t>
      </w:r>
      <w:proofErr w:type="spellEnd"/>
      <w:r w:rsidRPr="00742316">
        <w:rPr>
          <w:rFonts w:ascii="Tahoma" w:eastAsia="Times New Roman" w:hAnsi="Tahoma" w:cs="Tahoma"/>
          <w:color w:val="666666"/>
          <w:sz w:val="18"/>
          <w:szCs w:val="18"/>
        </w:rPr>
        <w:t xml:space="preserve"> disorders (TMD’s). Therefore, orthodontic therapy can be beneficial to patients with malocclusions to avoid future development of TMD’s: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12. It is agreed upon that the presence of joint sounds may represent a risk factor in patients. Therefore, it is advisable to treat every patient presenting with a click: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tabs>
          <w:tab w:val="num" w:pos="1440"/>
        </w:tabs>
        <w:bidi w:val="0"/>
        <w:spacing w:before="100" w:beforeAutospacing="1" w:after="100" w:afterAutospacing="1" w:line="240" w:lineRule="auto"/>
        <w:ind w:left="144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13. According to a study conducted by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Wabeke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74231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et al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the most common sign of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temporomandibular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disorders is the presence of: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Pain.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Crepitus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Clicking.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Locking.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e)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All of the above.</w:t>
      </w:r>
    </w:p>
    <w:p w:rsidR="00742316" w:rsidRPr="00742316" w:rsidRDefault="00742316" w:rsidP="00742316">
      <w:pPr>
        <w:tabs>
          <w:tab w:val="num" w:pos="720"/>
        </w:tabs>
        <w:bidi w:val="0"/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f)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None of the above.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14. If painful symptoms arise during orthodontic treatment, Greene and other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researchers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recommend to: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Modify orthodontic therapy.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Relieve gross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occlusal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interferences.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Eliminate forces that tend to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distalize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the mandible.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All of the above.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e.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None of the above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15.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Orthognathic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surgery is usually recommended in severe Class II or III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discrepancies. </w:t>
      </w:r>
      <w:proofErr w:type="spellStart"/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Overjet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these cases are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always a reliable indicator of the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underlying skeletal pattern: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16. During prediction of treatment results for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orthognathic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surgery cases, the position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of the hard tissues is very difficult to be accurately accounted for. Difficulty is also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found during prediction of the soft tissue: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true, the second statement is false.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The first statement is false, the second statement is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true.</w:t>
      </w:r>
    </w:p>
    <w:p w:rsidR="00742316" w:rsidRPr="00742316" w:rsidRDefault="00742316" w:rsidP="00742316">
      <w:pPr>
        <w:tabs>
          <w:tab w:val="num" w:pos="1800"/>
        </w:tabs>
        <w:bidi w:val="0"/>
        <w:spacing w:before="100" w:beforeAutospacing="1" w:after="100" w:afterAutospacing="1" w:line="240" w:lineRule="auto"/>
        <w:ind w:left="1800" w:hanging="360"/>
        <w:rPr>
          <w:rFonts w:ascii="Tahoma" w:eastAsia="Times New Roman" w:hAnsi="Tahoma" w:cs="Tahoma"/>
          <w:color w:val="666666"/>
          <w:sz w:val="18"/>
          <w:szCs w:val="18"/>
        </w:rPr>
      </w:pPr>
      <w:r w:rsidRPr="00742316">
        <w:rPr>
          <w:rFonts w:ascii="Tahoma" w:eastAsia="Times New Roman" w:hAnsi="Tahoma" w:cs="Tahoma"/>
          <w:color w:val="666666"/>
          <w:sz w:val="18"/>
          <w:szCs w:val="18"/>
        </w:rPr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ahoma" w:eastAsia="Times New Roman" w:hAnsi="Tahoma" w:cs="Tahoma"/>
          <w:color w:val="666666"/>
          <w:sz w:val="18"/>
          <w:szCs w:val="18"/>
        </w:rPr>
        <w:t>Both statements are false.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17. The aims of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presurgical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orthodontics are to: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Relieve crowding.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Obtain optimum dental esthetics.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Correct incisor angulations (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decompensation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d.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Obtain optimum functional occlusion.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e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a, b &amp; c.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f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proofErr w:type="spell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proofErr w:type="spell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c.</w:t>
      </w:r>
    </w:p>
    <w:p w:rsidR="00742316" w:rsidRPr="00742316" w:rsidRDefault="00742316" w:rsidP="00742316">
      <w:pPr>
        <w:bidi w:val="0"/>
        <w:spacing w:before="100" w:beforeAutospacing="1" w:after="100" w:afterAutospacing="1" w:line="360" w:lineRule="auto"/>
        <w:ind w:left="1800" w:hanging="36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g</w:t>
      </w:r>
      <w:proofErr w:type="gramEnd"/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7423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Pr="00742316">
        <w:rPr>
          <w:rFonts w:ascii="Times New Roman" w:eastAsia="Times New Roman" w:hAnsi="Times New Roman" w:cs="Times New Roman"/>
          <w:color w:val="666666"/>
          <w:sz w:val="24"/>
          <w:szCs w:val="24"/>
        </w:rPr>
        <w:t>b, c &amp; d.</w:t>
      </w:r>
    </w:p>
    <w:p w:rsidR="00293B68" w:rsidRPr="00742316" w:rsidRDefault="00293B68">
      <w:pPr>
        <w:rPr>
          <w:rFonts w:hint="cs"/>
        </w:rPr>
      </w:pPr>
    </w:p>
    <w:sectPr w:rsidR="00293B68" w:rsidRPr="00742316" w:rsidSect="003857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316"/>
    <w:rsid w:val="00293B68"/>
    <w:rsid w:val="00385784"/>
    <w:rsid w:val="00554007"/>
    <w:rsid w:val="00742316"/>
    <w:rsid w:val="009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68"/>
    <w:pPr>
      <w:bidi/>
    </w:pPr>
  </w:style>
  <w:style w:type="paragraph" w:styleId="Heading3">
    <w:name w:val="heading 3"/>
    <w:basedOn w:val="Normal"/>
    <w:link w:val="Heading3Char"/>
    <w:uiPriority w:val="9"/>
    <w:qFormat/>
    <w:rsid w:val="007423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9"/>
    <w:qFormat/>
    <w:rsid w:val="00742316"/>
    <w:pPr>
      <w:bidi w:val="0"/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3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rsid w:val="007423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3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3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1</cp:revision>
  <dcterms:created xsi:type="dcterms:W3CDTF">2013-05-29T14:41:00Z</dcterms:created>
  <dcterms:modified xsi:type="dcterms:W3CDTF">2013-05-29T14:42:00Z</dcterms:modified>
</cp:coreProperties>
</file>