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D2" w:rsidRDefault="003F3AD2" w:rsidP="003F3AD2">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10</w:t>
      </w:r>
    </w:p>
    <w:p w:rsidR="009D475C" w:rsidRDefault="003F3AD2" w:rsidP="003F3AD2">
      <w:pPr>
        <w:spacing w:before="372" w:after="0"/>
        <w:jc w:val="right"/>
      </w:pPr>
      <w:r>
        <w:rPr>
          <w:rFonts w:ascii="Arial Unicode MS" w:eastAsia="Arial Unicode MS" w:hAnsi="Arial Unicode MS" w:cs="Arial Unicode MS"/>
          <w:color w:val="000000"/>
          <w:sz w:val="28"/>
        </w:rPr>
        <w:t>Credit Risk: Individual Loan Risk</w:t>
      </w:r>
    </w:p>
    <w:p w:rsidR="009D475C" w:rsidRDefault="003F3AD2">
      <w:pPr>
        <w:spacing w:after="0"/>
      </w:pPr>
      <w:r>
        <w:rPr>
          <w:rFonts w:ascii="Arial Unicode MS" w:eastAsia="Arial Unicode MS" w:hAnsi="Arial Unicode MS" w:cs="Arial Unicode MS"/>
          <w:color w:val="000000"/>
          <w:sz w:val="18"/>
        </w:rPr>
        <w:t> </w:t>
      </w:r>
    </w:p>
    <w:p w:rsidR="009D475C" w:rsidRDefault="003F3AD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Default by a large corporation is seldom a problem for FIs since these corporations have many different sources of borrowed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Junk bonds are bonds that are rated less than investment grade by bond-rating agencies.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During the decade of the 1990s the asset quality of U.S. banks continued to improve.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Sustained credit quality problems can drain an FI's capital and net worth.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Credit risk applies only to bond investment and loan portfolios of FIs and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lastRenderedPageBreak/>
              <w:t>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primary difficulty in arranging a syndicated loan is having all of the various lending and borrowing parties reach agreement on terms, rates, and collateral.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 secured loan has a claim to specific assets of the borrower in the case of default.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Unsecured debt is considered to be senior to secured debt.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amount of security or collateral on a loan and the interest rate or risk premium on a loan normally are negatively related.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 loan commitment is an agreement involving the amount of loan available and the amount of time during which the loan can be initiated.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exact interest rate to be charged on a fixed-rate loan is agreed upon by all parties at the time the commitment is negotiated.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Long-term loans are more likely to be made under a loan commitment agreement than short-term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Commercial paper has become an acceptable substitute source for bank loans formany large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Commercial paper typically is secured by specific assets of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Commercial loans have been decreasing in importance in bank loan portfolios.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Commercial real estate mortgages have been the fastest growing component of real estate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Residential mortgages are the smallest component of bank real estate loan portfolios.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Since their introduction, the proportion of ARMs to fixed-rate residential mortgages has remained very stable over interest rate cycles.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Because they are secured by homes, residential mortgages have demonstrated very little credit risk for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Adjustable rate mortgages have interest rates that adjust periodically according to the movement in some index.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Usury ceilings are maximum rates imposed by federal legislation that FIs can charge on consumer and mortgage debt.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Relationship pricing involves pricing for specific services which depend, in part, on the amount or number of services that are used by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LIBOR, the London Interbank Offered Rate, is the rate for short-term interbank dollar loans in the domestic money-center bank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Because a compensating balance is the proportion of a loan that must be kept on deposit at the lending institution, the actual return to the lender on the usable portion of these loans is higher.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Adjusting interest rates, fees, and other terms upward for increasing amounts of default risk is a way to attempt to realize the expected return on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Because of compensating balances and fees used to increase return on a loan, the credit risk premium is not the fundamental factor driving the promised return once the base rate on the loan has been 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At some point, further increases in interest rates on specific loans may decrease expected loan returns because of increased probability of default by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Credit rationing is a form of managing credit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29.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Generally, at the retail level, an FI controls credit risks solely by using a range of interest rates or prices and not by credit rationing.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There is a positive relationship between the interest rate charged on a retail loan and the expected return on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Covenants are restrictions in loan and bond agreements that encourage or forbid certain actions by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 borrower's reputation is an example of a market-specific factor in the credit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amount of leverage of a borrower and the probability of default are positively related, but only after some minimum level of debt.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Recessionary phases in the business cycle typically cause greater hardship on companies that borrow large amounts.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Willingness to post collateral may be a signal of more rather than less credit risk on the part of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Credit scoring models are advantageous because of their ability to sort borrowers into different default risk classes.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 major advantage of discriminant models is the stability of the coefficient weights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Discriminant models often ignore hard-to-quantify factors in the credit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39.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In terms of rating agencies such as S&amp;P, investment grade companies are those whose bond ratings are grade B or above.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risk premium, or spread, between corporate bonds and Treasury securities tends to increase as the time to maturity increases.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probability that a borrower would default in any specific time period is a marginal default probability.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cumulative default probability of a borrower in a given time period is one minus the product of the marginal default probabilities for all time periods up to that time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condition of no arbitrage profits implies that profits cannot be made without taking some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mortality rate is the past default experience of all loans, regardless of quality.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marginal mortality rate is the probability of a bond or loan defaulting in any given year after it is issued.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One of the problems with estimating expected default rates is that the analysis is based on historic data.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payoff function of a loan to a debt holder is similar to writing a call option on the value of the borrower's assets with the face value of the debt as the exercise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RAROC is a measure of a firm's cost of debt.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49.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 major problem in estimating RAROC is the measurement of loan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traditional duration equation can be used to measure the capital at risk on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9D475C" w:rsidRDefault="003F3AD2">
      <w:pPr>
        <w:keepLines/>
        <w:spacing w:after="0"/>
      </w:pPr>
      <w:r>
        <w:rPr>
          <w:rFonts w:ascii="Arial Unicode MS" w:eastAsia="Arial Unicode MS" w:hAnsi="Arial Unicode MS" w:cs="Arial Unicode MS"/>
          <w:color w:val="000000"/>
          <w:sz w:val="18"/>
        </w:rPr>
        <w:t> </w:t>
      </w:r>
    </w:p>
    <w:p w:rsidR="009D475C" w:rsidRDefault="003F3AD2">
      <w:pPr>
        <w:spacing w:after="0"/>
      </w:pPr>
      <w:r>
        <w:rPr>
          <w:rFonts w:ascii="Arial Unicode MS" w:eastAsia="Arial Unicode MS" w:hAnsi="Arial Unicode MS" w:cs="Arial Unicode MS"/>
          <w:color w:val="000000"/>
          <w:sz w:val="18"/>
        </w:rPr>
        <w:t> </w:t>
      </w:r>
    </w:p>
    <w:p w:rsidR="009D475C" w:rsidRDefault="003F3AD2">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not a characteristic of a loan commitment?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1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maximum amount of the loan is negotiated at the time of the loan agreement.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interest rate on fixed-rate loans is determined at the time of the loan is actually taken down.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5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Floating-rate loans transfer the interest rate risk to the borrower.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9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time period for which the loan is available is negotiated at the time of the loan agreement.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In a floating-rate loan the borrower pays interest rate in force when the loan is actually taken down.</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observations is true of a spot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involves a maximum size and a maximum period of time over which the borrower can withdraw funds.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3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involves immediate withdrawal of the entire loan amount by the borrower.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an unsecured short-term debt instrument issued by corporations.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a nonbank loan substitute.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a line of credit.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From the perspective of an FI, which of the following is an advantage of a floating-rate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7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Stable interest payments will be received throughout the loan period.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pre-specified interest rate remains in force over the loan contract period no matter what happens to market interest rates.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7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bank can request repayment of a loan at any time in the contract period.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default risk is completely eliminated.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interest rate risk is transferred to the borrower.</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All other things equal, longer term loans are more likely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variable-rate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2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fixed-rate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commitment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lowest risk category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high interest rate loans.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observations concerning floating-rate loans is NOT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They have less credit risk than fixed-rate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0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They better enable FIs to hedge the cost of rising interest rates on liabilities.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1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They pass the risk of interest rate changes onto borrowers.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In rising interest rate environments, borrowers may find themselves unable to pay the interest on their floating-rate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9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loan rate can be periodically adjusted according to a formula.</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true of commercial paper?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a secured long-term debt instrument issued by corporations.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always issued via an underwriter.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1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may help a corporation to raise funds often at rates below those banks charge.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All corporations can tap the commercial paper market.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1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Total commercial paper outstanding in the US is smaller than total C&amp;I loans.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NOT characteristic of the real estate portfolio for most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Commercial real estate mortgages have been the fastest growing component of real estate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8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Adjustable rate mortgages have rates that are periodically adjusted to some index.</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8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Borrowers prefer fixed-rate loans to ARMs during periods of high interest rates.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7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Residential mortgages are the largest component of the real estate loan portfolio.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97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proportion of ARMs to fixed-rate mortgages can vary considerably over the rate cycle.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NOT characteristic of the consumer loans at U.S.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0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Non revolving consumer loans is the largest class of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2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Credit card loans often have default rates between four and eight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6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Usury ceilings affect the rate structure for consumer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2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Consumer loans differ widely with respect to collateral, rates, maturity, and noninterest fees.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Revolving consumer loans include new and used automobile loans, mobile home loans, and fixed-term consumer loans.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59.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Revolving loans are credit lines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0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that allow the borrower to borrow the repeat credit only after the first loan is repaid.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that specify a maximum size and a maximum period of time over which the borrower can withdraw funds.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1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whose interest rate adjusts with movements in an underlying market index interest rate.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3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on which a borrower can both draw and repay many times over the life of the loan contract.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that include new and used automobile loans, mobile home loans, and fixed-term consumer loans.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factors may affect the promised return an FI receives on a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9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collateral backing of the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Fees relating to the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5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interest rate on the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9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credit risk premium on the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All of the above.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Confidence Bank has made a loan to Risky Corporation. The loan terms include a default risk-free borrowing rate of 8 percent, a risk premium of 3 percent, an origination fee of 0.1875 percent, and a 9 percent compensating balance requirement. Required reserves at the Fed are 6 percent. What is the expected or promised gross return on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11.19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11.90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12.29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12.02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12.22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not a qualitative factor in credit risk analysis?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Borrower reputation.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Borrower ethnic origin.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3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Leverage position of the borrower.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level of interest rates.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Collateral available.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statements involving the promised return on a loan is NOT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3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Credit risk may be the most important factor affecting the return on a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Compensating balances reduce the effective cost of loans for the borrower because the deposit interest rate is typically greater than the loan rate.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Compensating balances represents the portion of the loan that must be kept on deposit at the bank.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Compensating balance requirements provide an additional source of return for the lending institution.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5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Increased collateral is a method of compensating for lending risk.</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statements does NOT reflect credit decisions at the retail level?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Loans to retail customers are more likely to be rationed through interest rates than loan quantity restrictions.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8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Most loan decisions at the retail level tend to be accept or reject decisions.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1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Mortgage loans often are discriminated based on loan to price ratios rather than interest rates.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2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Household borrowers require higher costs of information collection for lenders.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Retail loans tend to be smaller than wholesale loans.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Credit rationing by an FI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0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involves restricting the quantity of loans made available to individual borrowers.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01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results from a positive linear relationship between interest rates and expected loan returns.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3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is not used by FIs at the retail level.</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involves rationing consumer loans using price or interest rate differences.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is only relevant to banks.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statements does not reflect a borrower-specific factor often used in qualitative default risk models?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Reputation is an implicit contract regarding borrowing and repayment that extends beyond the formal explicit legal contract.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borrower's leverage ratio is positively related to the probability of default over all levels of debt.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Firms with high earnings variance are less attractive credit risks than those firms that have a history of stable earnings.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5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Loans can be collateralized or uncollateralized.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Reputation is a key reason why initial public offering of debt securities by small firms have a higher interest rate than do debt issues of more seasoned borrowers.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In making credit decisions, which of the following items is considered a market-specific factor?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0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reputation of the borrower enhances the credit application.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current debt-equity ratio is sufficiently low to not impact the probability of repayment.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debt can be secured by specific property.</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position of the economy in the business cycle phase would affect the probability of borrower default.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volatility of earnings could present a period where the periodic payment of interest and principal would be at risk.</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refers to the risk that the borrower is unable or unwilling to fulfill the terms promised under the loan contract?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Liquidity risk.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Interest rate risk.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Sovereign risk.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5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Default risk.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3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Solvency risk.</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69.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refers to restrictions in loan and bond agreements that encourage or forbid certain actions by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Mortality rates.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RAROC.</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Implicit contracts.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1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Covenants.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1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Credit rationing.</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Credit scoring models include all of the following broad types of models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3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Linear discriminant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Linear probability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5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Term structure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Logit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None of the above.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In making credit decisions, which of the following items is considered a market-specific factor?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borrower's capital structure is beyond the point where additional debt increases the probability of loss of principal or interest.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1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relative level of interest rates will encourage the borrower to take excessive risks.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4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property can be pledged as collateral.</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volatility of earnings could present a period where the periodic payment of interest and principal would be at risk.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5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Whether the record of the borrower is sufficient to create an implicit contract.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Borrower reputation is important in assessing credit quality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9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good past payment performance perfectly predicts future behavior.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preservation of a good customer/FI relationship acts as an additional incentive to encourage loan repayment.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FIs only lend to customers they know.</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customers with poor credit histories always default on their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reputation for honesty is important in credit appraisal.</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loan applicant characteristics is not relevant in the credit approval decision?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Leverage position of the borrower.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Borrower income.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Value of collateral.</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Borrower reputation.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None of the above.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true of the prime lending 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most commonly used in pricing longer-term loans.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8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the lending rate charged to the FI's lowest-risk customers.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also known as LIBOR.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1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is the rate for interbank dollar loans of a given maturity in the Eurodollar market.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best and largest borrowers commonly pay above this lending rate.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Suppose that debt-equity ratio (D/E) and the sales-asset ratio (S/A) were two factors influencing the past default behavior of borrowers. Based on past default (repayment) experience, the linear probability model is estimated as: PD</w:t>
            </w:r>
            <w:r>
              <w:rPr>
                <w:rFonts w:ascii="Arial Unicode MS" w:eastAsia="Arial Unicode MS" w:hAnsi="Arial Unicode MS" w:cs="Arial Unicode MS"/>
                <w:color w:val="000000"/>
                <w:sz w:val="20"/>
                <w:vertAlign w:val="subscript"/>
              </w:rPr>
              <w:t>i</w:t>
            </w:r>
            <w:r>
              <w:rPr>
                <w:rFonts w:ascii="Arial Unicode MS" w:eastAsia="Arial Unicode MS" w:hAnsi="Arial Unicode MS" w:cs="Arial Unicode MS"/>
                <w:color w:val="000000"/>
                <w:sz w:val="20"/>
              </w:rPr>
              <w:t xml:space="preserve"> = 0.5(D/E</w:t>
            </w:r>
            <w:r>
              <w:rPr>
                <w:rFonts w:ascii="Arial Unicode MS" w:eastAsia="Arial Unicode MS" w:hAnsi="Arial Unicode MS" w:cs="Arial Unicode MS"/>
                <w:color w:val="000000"/>
                <w:sz w:val="20"/>
                <w:vertAlign w:val="subscript"/>
              </w:rPr>
              <w:t>i</w:t>
            </w:r>
            <w:r>
              <w:rPr>
                <w:rFonts w:ascii="Arial Unicode MS" w:eastAsia="Arial Unicode MS" w:hAnsi="Arial Unicode MS" w:cs="Arial Unicode MS"/>
                <w:color w:val="000000"/>
                <w:sz w:val="20"/>
              </w:rPr>
              <w:t>) + 0.1(S/A</w:t>
            </w:r>
            <w:r>
              <w:rPr>
                <w:rFonts w:ascii="Arial Unicode MS" w:eastAsia="Arial Unicode MS" w:hAnsi="Arial Unicode MS" w:cs="Arial Unicode MS"/>
                <w:color w:val="000000"/>
                <w:sz w:val="20"/>
                <w:vertAlign w:val="subscript"/>
              </w:rPr>
              <w:t>i</w:t>
            </w:r>
            <w:r>
              <w:rPr>
                <w:rFonts w:ascii="Arial Unicode MS" w:eastAsia="Arial Unicode MS" w:hAnsi="Arial Unicode MS" w:cs="Arial Unicode MS"/>
                <w:color w:val="000000"/>
                <w:sz w:val="20"/>
              </w:rPr>
              <w:t>). If a prospective borrower has a debt-equity ratio of 0.4 and sales-asset ratio of 1.8, the expected probability of default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0.02.</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0.35.</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0.38.</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0.62.</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0.98.</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the major weakness of the linear probability model?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5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model is based on past data of the borrower.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Measurement of the loan risk is difficult.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2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Estimated probabilities of default may lie outside the interval 0 to 1.</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Neither the market value of a firm's assets nor the volatility of the firm's assets is directly observed.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7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None of the above is a weakness of the linear probability model.</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According to Altman's credit scoring model, which of the following Z scores would indicate a low default risk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Less than 1.</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3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Between 1 and 1.81.</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Between 1.81 and 2.99.</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Greater than 2.99.</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How can discriminant analysis be used to make credit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0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By discriminating between good and bad borrowers.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By using statistical analysis to predict the default probabilities.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By using statistical analysis to isolate and weight factors to arrive at default risk classification of a commercial borrower.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8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By using statistical analysis to bypass qualitative credit decision making.</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1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By updating FI bankruptcy experiences.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79.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most important factor determining bankruptcy, according to the Altman Z-score model?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Working capital to assets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Retained earnings to assets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0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Earnings before interest and taxes to assets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Market value of equity to book value of long-term debt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5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Sales to assets ratio.</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least important factor determining bankruptcy, according to the Altman Z-score model?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Working capital to assets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Retained earnings to assets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4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Earnings before interest and taxes to assets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1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Market value of equity to book value of long-term debt ratio</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Sales to assets ratio</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a problem in using discriminant analysis to evaluate credit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does not consider gradations of default.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weights in the discriminant function are assumed to be dynamic.</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4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can include hard-to-quantify factors.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0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Data on loan specific information of banks are readily available.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3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It does not assume that variables are independent of one another.</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Marginal default probability refers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probability that a borrower will default over a specified multiyear period.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8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marginal increase in the default probability due to a change in credit premium.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3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historic default rate experience of a bond or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9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expected maximum change in the loan rate due to a change in the credit premium.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2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probability that a borrower will default in any given year.</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Cumulative default probability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probability that a borrower will default over a specified multiyear period.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8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expected maximum change in the loan rate due to a change in the risk factor on the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3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historic default rate experience of a bond or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9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expected maximum change in the loan rate due to a change in the credit premium.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2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probability that a borrower will default in any given year.</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If the spot interest rate on a prime-rated one-month CD is 6 percent today and the market rate on a two-month maturity prime-rated CD is 7 percent today, the implied forward rate on a one-month CD to be delivered one month from today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11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18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8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refers to the term "mortality 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success rate of new investments.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0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one-period rate of interest expected on a bond issued at some date in the future.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2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probability that a borrower will default in any given year.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Historic default rate experience of a bond or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9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probability that a borrower will default over a specified multiyear period.</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is NOT a valid conceptual or application problem of the mortality rate approach to estimate default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8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Implied future probabilities are sensitive to the period over which MMRs are calculated.</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1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estimates are sensitive to the number of issues in each investment grade.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0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Syndicated loans seem to have higher mortality rates than corporate bonds.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3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estimated probability values are historic or backward-looking measures.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9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estimates are sensitive to the relative size of issues in each investment grade.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essential idea behind RAROC?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2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Evaluating the actual or contractually promised annual ROA on a loan.</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3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Analyzing historic or past default risk experience.</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Balancing expected interest and fee income less the cost of funds against the loan's expected risk.</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5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Extracting expected default rates from the current term structure of interest rates.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3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Dividing net interest and fees by the amount lent.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Which of the following completes the statement: All else equal, the higher the duration of a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lower the current level of interest rates, the higher the RAROC.</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2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lower the expected change in risk premium, the lower the RAROC.</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8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higher the expected change in risk premium, the higher the RAROC.</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7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higher the loan amount, the lower the RAROC.</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9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lower the loan amount, the lower the RAROC.</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89.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From the lender's point of view, debt can be evaluated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writing a call option on the borrower's assets with the exercise price equal to the face value of the debt.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buying a call option on the borrower's liabilities with the exercise price equal to the market value of the debt.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buying a put option on the borrower's assets with the exercise price equal to the face value of the debt.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writing a put option on the borrower's assets with the exercise price equal to the face value of the debt.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writing a put option on the borrower's liabilities with the exercise price equal to the market value of the debt.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does the Moody's Analytics model use as equivalent to holding a call option on the assets of the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The value of equity in a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Total liabilities of a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Net income of a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46"/>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Dividend yield of investments.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3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Short-term debt liabilities of a firm.</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Simulations by Moody's Analytics have shown which of the following models to be relatively better predictors of corporate failure and distress?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Z score-type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S&amp;P rating changes.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6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Expected Default Frequency (EDF)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Linear probability models.</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Logit models.</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Using a modified discriminant function similar to Altman's, Burger Bank estimates the following coefficients for its portfolio of loans: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Z = 1.4X</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+ 1.09X</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 xml:space="preserve"> + 1.5X</w:t>
            </w:r>
            <w:r>
              <w:rPr>
                <w:rFonts w:ascii="Arial Unicode MS" w:eastAsia="Arial Unicode MS" w:hAnsi="Arial Unicode MS" w:cs="Arial Unicode MS"/>
                <w:color w:val="000000"/>
                <w:sz w:val="24"/>
                <w:vertAlign w:val="subscript"/>
              </w:rPr>
              <w:t>3</w:t>
            </w:r>
            <w:r>
              <w:rPr>
                <w:rFonts w:ascii="Times,Times New Roman,Times-Rom" w:eastAsia="Times,Times New Roman,Times-Rom" w:hAnsi="Times,Times New Roman,Times-Rom" w:cs="Times,Times New Roman,Times-Rom"/>
                <w:color w:val="000000"/>
                <w:sz w:val="24"/>
                <w:vertAlign w:val="subscript"/>
              </w:rPr>
              <w:br/>
            </w:r>
            <w:r>
              <w:rPr>
                <w:rFonts w:ascii="Times,Times New Roman,Times-Rom" w:eastAsia="Times,Times New Roman,Times-Rom" w:hAnsi="Times,Times New Roman,Times-Rom" w:cs="Times,Times New Roman,Times-Rom"/>
                <w:color w:val="000000"/>
                <w:sz w:val="24"/>
                <w:vertAlign w:val="subscript"/>
              </w:rPr>
              <w:br/>
            </w:r>
            <w:r>
              <w:rPr>
                <w:rFonts w:ascii="Arial Unicode MS" w:eastAsia="Arial Unicode MS" w:hAnsi="Arial Unicode MS" w:cs="Arial Unicode MS"/>
                <w:color w:val="000000"/>
                <w:sz w:val="20"/>
              </w:rPr>
              <w:t>where X</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debt to asset ratio; X</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 xml:space="preserve"> = net income and X</w:t>
            </w:r>
            <w:r>
              <w:rPr>
                <w:rFonts w:ascii="Arial Unicode MS" w:eastAsia="Arial Unicode MS" w:hAnsi="Arial Unicode MS" w:cs="Arial Unicode MS"/>
                <w:color w:val="000000"/>
                <w:sz w:val="20"/>
                <w:vertAlign w:val="subscript"/>
              </w:rPr>
              <w:t>3</w:t>
            </w:r>
            <w:r>
              <w:rPr>
                <w:rFonts w:ascii="Arial Unicode MS" w:eastAsia="Arial Unicode MS" w:hAnsi="Arial Unicode MS" w:cs="Arial Unicode MS"/>
                <w:color w:val="000000"/>
                <w:sz w:val="20"/>
              </w:rPr>
              <w:t xml:space="preserve"> = dividend payout ratio.</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Z-score if the debt to asset ratio is 40 percent, net income is 12 percent, and the dividend payout ratio is 60 percent?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1.59.</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1.48.</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1.36.</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1.28.</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1.20.</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Using Z = 1.682 as the cut-off rate, what should be the debt to asset ratio of the firm in order for the bank to approve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46.5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51.5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54.0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65.0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Suppose that the financial ratios of a potential borrowing firm took the following values: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X</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0.30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X</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 xml:space="preserve"> = 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X</w:t>
            </w:r>
            <w:r>
              <w:rPr>
                <w:rFonts w:ascii="Arial Unicode MS" w:eastAsia="Arial Unicode MS" w:hAnsi="Arial Unicode MS" w:cs="Arial Unicode MS"/>
                <w:color w:val="000000"/>
                <w:sz w:val="20"/>
                <w:vertAlign w:val="subscript"/>
              </w:rPr>
              <w:t>3</w:t>
            </w:r>
            <w:r>
              <w:rPr>
                <w:rFonts w:ascii="Arial Unicode MS" w:eastAsia="Arial Unicode MS" w:hAnsi="Arial Unicode MS" w:cs="Arial Unicode MS"/>
                <w:color w:val="000000"/>
                <w:sz w:val="20"/>
              </w:rPr>
              <w:t xml:space="preserve"> = -0.30</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X</w:t>
            </w:r>
            <w:r>
              <w:rPr>
                <w:rFonts w:ascii="Arial Unicode MS" w:eastAsia="Arial Unicode MS" w:hAnsi="Arial Unicode MS" w:cs="Arial Unicode MS"/>
                <w:color w:val="000000"/>
                <w:sz w:val="20"/>
                <w:vertAlign w:val="subscript"/>
              </w:rPr>
              <w:t>4</w:t>
            </w:r>
            <w:r>
              <w:rPr>
                <w:rFonts w:ascii="Arial Unicode MS" w:eastAsia="Arial Unicode MS" w:hAnsi="Arial Unicode MS" w:cs="Arial Unicode MS"/>
                <w:color w:val="000000"/>
                <w:sz w:val="20"/>
              </w:rPr>
              <w:t xml:space="preserve"> = 0.15</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X</w:t>
            </w:r>
            <w:r>
              <w:rPr>
                <w:rFonts w:ascii="Arial Unicode MS" w:eastAsia="Arial Unicode MS" w:hAnsi="Arial Unicode MS" w:cs="Arial Unicode MS"/>
                <w:color w:val="000000"/>
                <w:sz w:val="20"/>
                <w:vertAlign w:val="subscript"/>
              </w:rPr>
              <w:t>5</w:t>
            </w:r>
            <w:r>
              <w:rPr>
                <w:rFonts w:ascii="Arial Unicode MS" w:eastAsia="Arial Unicode MS" w:hAnsi="Arial Unicode MS" w:cs="Arial Unicode MS"/>
                <w:color w:val="000000"/>
                <w:sz w:val="20"/>
              </w:rPr>
              <w:t xml:space="preserve"> = 2.1</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Altman's discriminant function takes the form:</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Z = 1.2 X</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+ 1.4 X</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 xml:space="preserve"> + 3.3 X</w:t>
            </w:r>
            <w:r>
              <w:rPr>
                <w:rFonts w:ascii="Arial Unicode MS" w:eastAsia="Arial Unicode MS" w:hAnsi="Arial Unicode MS" w:cs="Arial Unicode MS"/>
                <w:color w:val="000000"/>
                <w:sz w:val="20"/>
                <w:vertAlign w:val="subscript"/>
              </w:rPr>
              <w:t>3</w:t>
            </w:r>
            <w:r>
              <w:rPr>
                <w:rFonts w:ascii="Arial Unicode MS" w:eastAsia="Arial Unicode MS" w:hAnsi="Arial Unicode MS" w:cs="Arial Unicode MS"/>
                <w:color w:val="000000"/>
                <w:sz w:val="20"/>
              </w:rPr>
              <w:t xml:space="preserve"> + 0.6 X</w:t>
            </w:r>
            <w:r>
              <w:rPr>
                <w:rFonts w:ascii="Arial Unicode MS" w:eastAsia="Arial Unicode MS" w:hAnsi="Arial Unicode MS" w:cs="Arial Unicode MS"/>
                <w:color w:val="000000"/>
                <w:sz w:val="20"/>
                <w:vertAlign w:val="subscript"/>
              </w:rPr>
              <w:t>4</w:t>
            </w:r>
            <w:r>
              <w:rPr>
                <w:rFonts w:ascii="Arial Unicode MS" w:eastAsia="Arial Unicode MS" w:hAnsi="Arial Unicode MS" w:cs="Arial Unicode MS"/>
                <w:color w:val="000000"/>
                <w:sz w:val="20"/>
              </w:rPr>
              <w:t xml:space="preserve"> + 1.0 X</w:t>
            </w:r>
            <w:r>
              <w:rPr>
                <w:rFonts w:ascii="Arial Unicode MS" w:eastAsia="Arial Unicode MS" w:hAnsi="Arial Unicode MS" w:cs="Arial Unicode MS"/>
                <w:color w:val="000000"/>
                <w:sz w:val="20"/>
                <w:vertAlign w:val="subscript"/>
              </w:rPr>
              <w:t>5</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Z score for the firm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1.64.</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1.56.</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2.1.</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3.54.</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2.96.</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According to Altman's credit scoring model, this firm should be considered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high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5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an indeterminant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3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low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3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lowest risk customer.</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1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Either C or D.</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Suppose X</w:t>
            </w:r>
            <w:r>
              <w:rPr>
                <w:rFonts w:ascii="Arial Unicode MS" w:eastAsia="Arial Unicode MS" w:hAnsi="Arial Unicode MS" w:cs="Arial Unicode MS"/>
                <w:color w:val="000000"/>
                <w:sz w:val="20"/>
                <w:vertAlign w:val="subscript"/>
              </w:rPr>
              <w:t>3</w:t>
            </w:r>
            <w:r>
              <w:rPr>
                <w:rFonts w:ascii="Arial Unicode MS" w:eastAsia="Arial Unicode MS" w:hAnsi="Arial Unicode MS" w:cs="Arial Unicode MS"/>
                <w:color w:val="000000"/>
                <w:sz w:val="20"/>
              </w:rPr>
              <w:t xml:space="preserve"> = 0.2 instead of -0.30. According to Altman's credit scoring model, the firm would fall under which default risk classification?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35"/>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high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8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An indeterminant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low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A medium default risk firm.</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Either B or D.</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following represents two yield curves.</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5CCFEBFE" wp14:editId="2F9D4691">
                  <wp:extent cx="4093028" cy="1055914"/>
                  <wp:effectExtent l="0" t="0" r="0" b="0"/>
                  <wp:docPr id="1" name="https://www.eztestonline.com/tomhardej/13799277441194200384.tp4?REQUEST=SHOWmedia&amp;media=image008PRINT.png"/>
                  <wp:cNvGraphicFramePr/>
                  <a:graphic xmlns:a="http://schemas.openxmlformats.org/drawingml/2006/main">
                    <a:graphicData uri="http://schemas.openxmlformats.org/drawingml/2006/picture">
                      <pic:pic xmlns:pic="http://schemas.openxmlformats.org/drawingml/2006/picture">
                        <pic:nvPicPr>
                          <pic:cNvPr id="0" name="https://www.eztestonline.com/tomhardej/13799277441194200384.tp4?REQUEST=SHOWmedia&amp;media=image008PRINT.png"/>
                          <pic:cNvPicPr/>
                        </pic:nvPicPr>
                        <pic:blipFill>
                          <a:blip r:embed="rId6"/>
                          <a:stretch/>
                        </pic:blipFill>
                        <pic:spPr>
                          <a:xfrm>
                            <a:off x="0" y="0"/>
                            <a:ext cx="4093028" cy="1055914"/>
                          </a:xfrm>
                          <a:prstGeom prst="rect">
                            <a:avLst/>
                          </a:prstGeom>
                        </pic:spPr>
                      </pic:pic>
                    </a:graphicData>
                  </a:graphic>
                </wp:inline>
              </w:drawing>
            </w:r>
            <w:r>
              <w:rPr>
                <w:rFonts w:ascii="Arial Unicode MS" w:eastAsia="Arial Unicode MS" w:hAnsi="Arial Unicode MS" w:cs="Arial Unicode MS"/>
                <w:color w:val="000000"/>
                <w:sz w:val="20"/>
              </w:rPr>
              <w:t> </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implied probability of repayment on one-year B-rated debt?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95.00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97.17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94.00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97.00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97.09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interest rate is expected on a one-year B-rated corporate bond in one year? (Hint: Use the implied forward 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9.09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14.15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17.0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99.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spread is expected between the one-year maturity B-rated bond and the one-year Treasury bond in one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3.00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5.06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7.00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expected probability of default in year 2 of two-year maturity B-rated debt?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2.83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3.00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4.43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2.68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5.00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probability that two-year B-rated corporate debt will be fully repaid?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92.9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95.6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97.2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7.10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4.40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following information on the mortality rate of loans as estimated by an FI:</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3FA8F39B" wp14:editId="4F964D5C">
                  <wp:extent cx="3439885" cy="1240971"/>
                  <wp:effectExtent l="0" t="0" r="0" b="0"/>
                  <wp:docPr id="2" name="https://www.eztestonline.com/tomhardej/13799277441194200384.tp4?REQUEST=SHOWmedia&amp;media=image014PRINT.png"/>
                  <wp:cNvGraphicFramePr/>
                  <a:graphic xmlns:a="http://schemas.openxmlformats.org/drawingml/2006/main">
                    <a:graphicData uri="http://schemas.openxmlformats.org/drawingml/2006/picture">
                      <pic:pic xmlns:pic="http://schemas.openxmlformats.org/drawingml/2006/picture">
                        <pic:nvPicPr>
                          <pic:cNvPr id="1" name="https://www.eztestonline.com/tomhardej/13799277441194200384.tp4?REQUEST=SHOWmedia&amp;media=image014PRINT.png"/>
                          <pic:cNvPicPr/>
                        </pic:nvPicPr>
                        <pic:blipFill>
                          <a:blip r:embed="rId7"/>
                          <a:stretch/>
                        </pic:blipFill>
                        <pic:spPr>
                          <a:xfrm>
                            <a:off x="0" y="0"/>
                            <a:ext cx="3439885" cy="1240971"/>
                          </a:xfrm>
                          <a:prstGeom prst="rect">
                            <a:avLst/>
                          </a:prstGeom>
                        </pic:spPr>
                      </pic:pic>
                    </a:graphicData>
                  </a:graphic>
                </wp:inline>
              </w:drawing>
            </w:r>
            <w:r>
              <w:rPr>
                <w:rFonts w:ascii="Arial Unicode MS" w:eastAsia="Arial Unicode MS" w:hAnsi="Arial Unicode MS" w:cs="Arial Unicode MS"/>
                <w:color w:val="000000"/>
                <w:sz w:val="20"/>
              </w:rPr>
              <w:t> </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cumulative mortality rate of the A-rated and B-rated loans for year 2?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 percent and 2.24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0.5 percent and 1.24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13"/>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 percent and 1.74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0.5 percent and 0.5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02"/>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 percent and 1.0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If the cumulative mortality rate in year 3 is 3.46 percent for the B-rated loan, what is its yearly mortality rate in year 3?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1.21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0.90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0.875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following is information on current spot and forward term structures (assume the corporate debt pays interest annually):</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5422AA46" wp14:editId="50EB0FD4">
                  <wp:extent cx="4626428" cy="892628"/>
                  <wp:effectExtent l="0" t="0" r="0" b="0"/>
                  <wp:docPr id="3" name="https://www.eztestonline.com/tomhardej/13799277441194200384.tp4?REQUEST=SHOWmedia&amp;media=image016PRINT.png"/>
                  <wp:cNvGraphicFramePr/>
                  <a:graphic xmlns:a="http://schemas.openxmlformats.org/drawingml/2006/main">
                    <a:graphicData uri="http://schemas.openxmlformats.org/drawingml/2006/picture">
                      <pic:pic xmlns:pic="http://schemas.openxmlformats.org/drawingml/2006/picture">
                        <pic:nvPicPr>
                          <pic:cNvPr id="2" name="https://www.eztestonline.com/tomhardej/13799277441194200384.tp4?REQUEST=SHOWmedia&amp;media=image016PRINT.png"/>
                          <pic:cNvPicPr/>
                        </pic:nvPicPr>
                        <pic:blipFill>
                          <a:blip r:embed="rId8"/>
                          <a:stretch/>
                        </pic:blipFill>
                        <pic:spPr>
                          <a:xfrm>
                            <a:off x="0" y="0"/>
                            <a:ext cx="4626428" cy="892628"/>
                          </a:xfrm>
                          <a:prstGeom prst="rect">
                            <a:avLst/>
                          </a:prstGeom>
                        </pic:spPr>
                      </pic:pic>
                    </a:graphicData>
                  </a:graphic>
                </wp:inline>
              </w:drawing>
            </w:r>
            <w:r>
              <w:rPr>
                <w:rFonts w:ascii="Arial Unicode MS" w:eastAsia="Arial Unicode MS" w:hAnsi="Arial Unicode MS" w:cs="Arial Unicode MS"/>
                <w:color w:val="000000"/>
                <w:sz w:val="20"/>
              </w:rPr>
              <w:t> </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Calculate the value of x (the implied forward rate on one-year maturity Treasuries to be delivered in one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6.53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10.83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5.75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6.925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1.017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105.</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Calculate the value of y (the implied forward rate on one-year maturity BBB corporate debt to be delivered in one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6.53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10.83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5.75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6.925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1.017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106.</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Using the term structure of default probabilities, the implied default probability for BBB corporate debt during the current year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98.0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2.35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4.19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3.90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2.71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107.</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Using the term structure of default probabilities, the implied default probability for BBB corporate debt during the second year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4.20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98.0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2.35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2.71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3.88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108.</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cumulative probability of repayment of BBB corporate debt over the next two years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99.84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92.10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4.45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95.70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7.90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The duration of a soon to be approved loan of $10 million is four years. The 99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percentile increase in risk premium for bonds belonging to the same risk category of the loan has been estimated to be 5.5 percent.</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109.</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capital (loan) risk of the loan if the current average level of interest rates for this category of bonds is 12 percent?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57"/>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-$550,000.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-$1,564,280.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-$1,964,280.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-$2,000,000.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24"/>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-$2,200,000.</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110.</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If the fee income on this loan is 0.4 percent and the spread over the cost of funds to the bank is 1 percent, what is the expected income on this loan for the current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$140,000.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$180,000.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$280,000.</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111.</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estimated risk-adjusted return on capital (RAROC) of this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6.36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7.00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7.13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10.55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25.45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112.</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If the minimum RAROC acceptable to the bank is 8 percent, what should be its expected percentage fee income in order for it to approve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.157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.331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.471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.531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.571 percent.</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9D475C">
        <w:tc>
          <w:tcPr>
            <w:tcW w:w="200" w:type="pct"/>
          </w:tcPr>
          <w:p w:rsidR="009D475C" w:rsidRDefault="009D475C">
            <w:pPr>
              <w:keepNext/>
              <w:keepLines/>
              <w:rPr>
                <w:sz w:val="2"/>
              </w:rPr>
            </w:pPr>
          </w:p>
        </w:tc>
        <w:tc>
          <w:tcPr>
            <w:tcW w:w="4800" w:type="pct"/>
          </w:tcPr>
          <w:p w:rsidR="009D475C" w:rsidRDefault="003F3AD2">
            <w:pPr>
              <w:keepNext/>
              <w:keepLines/>
              <w:spacing w:after="0"/>
            </w:pPr>
            <w:r>
              <w:rPr>
                <w:rFonts w:ascii="Arial Unicode MS" w:eastAsia="Arial Unicode MS" w:hAnsi="Arial Unicode MS" w:cs="Arial Unicode MS"/>
                <w:color w:val="000000"/>
                <w:sz w:val="20"/>
              </w:rPr>
              <w:t>Use the following information and the option valuation model for the next two problems. Onyx Corporation has a $200,000 loan that will mature in one year. The risk free interest rate is 6 percent. The standard deviation in the rate of change in the underlying asset's value is 12 percent, and the leverage ratio for Onyx is 0.8 (80 percent). The value for N(h1) is 0.02743, and the value for N(h2) is 0.96406.</w:t>
            </w:r>
          </w:p>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113.</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current market value of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$160,000.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$189,932.</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$200,000.</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$188,352.</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90"/>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$178,571.</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9D475C">
        <w:tc>
          <w:tcPr>
            <w:tcW w:w="200" w:type="pct"/>
          </w:tcPr>
          <w:p w:rsidR="009D475C" w:rsidRDefault="003F3AD2">
            <w:pPr>
              <w:keepNext/>
              <w:keepLines/>
              <w:spacing w:after="0"/>
            </w:pPr>
            <w:r>
              <w:rPr>
                <w:rFonts w:ascii="Arial Unicode MS" w:eastAsia="Arial Unicode MS" w:hAnsi="Arial Unicode MS" w:cs="Arial Unicode MS"/>
                <w:color w:val="000000"/>
                <w:sz w:val="20"/>
              </w:rPr>
              <w:t>114.</w:t>
            </w:r>
          </w:p>
        </w:tc>
        <w:tc>
          <w:tcPr>
            <w:tcW w:w="4800" w:type="pct"/>
          </w:tcPr>
          <w:p w:rsidR="009D475C" w:rsidRDefault="003F3AD2">
            <w:pPr>
              <w:keepNext/>
              <w:keepLines/>
              <w:spacing w:after="0"/>
            </w:pPr>
            <w:r>
              <w:rPr>
                <w:rFonts w:ascii="Arial Unicode MS" w:eastAsia="Arial Unicode MS" w:hAnsi="Arial Unicode MS" w:cs="Arial Unicode MS"/>
                <w:color w:val="000000"/>
                <w:sz w:val="20"/>
              </w:rPr>
              <w:t>What is the required yield on this risky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A.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6.165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B.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6.00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C.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0.165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D.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5.835 percent.</w:t>
                  </w:r>
                </w:p>
              </w:tc>
            </w:tr>
          </w:tbl>
          <w:p w:rsidR="009D475C" w:rsidRDefault="009D475C">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9D475C">
              <w:tc>
                <w:tcPr>
                  <w:tcW w:w="0" w:type="auto"/>
                </w:tcPr>
                <w:p w:rsidR="009D475C" w:rsidRDefault="003F3AD2">
                  <w:pPr>
                    <w:keepNext/>
                    <w:keepLines/>
                    <w:spacing w:after="0"/>
                  </w:pPr>
                  <w:r>
                    <w:rPr>
                      <w:rFonts w:ascii="Arial Unicode MS" w:eastAsia="Arial Unicode MS" w:hAnsi="Arial Unicode MS" w:cs="Arial Unicode MS"/>
                      <w:color w:val="000000"/>
                      <w:sz w:val="20"/>
                    </w:rPr>
                    <w:t>E. </w:t>
                  </w:r>
                </w:p>
              </w:tc>
              <w:tc>
                <w:tcPr>
                  <w:tcW w:w="0" w:type="auto"/>
                </w:tcPr>
                <w:p w:rsidR="009D475C" w:rsidRDefault="003F3AD2">
                  <w:pPr>
                    <w:keepNext/>
                    <w:keepLines/>
                    <w:spacing w:after="0"/>
                  </w:pPr>
                  <w:r>
                    <w:rPr>
                      <w:rFonts w:ascii="Arial Unicode MS" w:eastAsia="Arial Unicode MS" w:hAnsi="Arial Unicode MS" w:cs="Arial Unicode MS"/>
                      <w:color w:val="000000"/>
                      <w:sz w:val="20"/>
                    </w:rPr>
                    <w:t>None of the above.</w:t>
                  </w:r>
                </w:p>
              </w:tc>
            </w:tr>
          </w:tbl>
          <w:p w:rsidR="009D475C" w:rsidRDefault="009D475C"/>
        </w:tc>
      </w:tr>
    </w:tbl>
    <w:p w:rsidR="009D475C" w:rsidRDefault="003F3AD2">
      <w:pPr>
        <w:keepLines/>
        <w:spacing w:after="0"/>
      </w:pPr>
      <w:r>
        <w:rPr>
          <w:rFonts w:ascii="Arial Unicode MS" w:eastAsia="Arial Unicode MS" w:hAnsi="Arial Unicode MS" w:cs="Arial Unicode MS"/>
          <w:color w:val="000000"/>
          <w:sz w:val="18"/>
        </w:rPr>
        <w:t> </w:t>
      </w:r>
    </w:p>
    <w:p w:rsidR="003F3AD2" w:rsidRDefault="003F3AD2" w:rsidP="003F3AD2">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3F3AD2" w:rsidRDefault="003F3AD2">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bookmarkStart w:id="0" w:name="_GoBack"/>
      <w:bookmarkEnd w:id="0"/>
    </w:p>
    <w:sectPr w:rsidR="003F3AD2" w:rsidSect="003F3AD2">
      <w:footerReference w:type="default" r:id="rId9"/>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B2" w:rsidRDefault="00E553B2" w:rsidP="003F3AD2">
      <w:pPr>
        <w:spacing w:after="0" w:line="240" w:lineRule="auto"/>
      </w:pPr>
      <w:r>
        <w:separator/>
      </w:r>
    </w:p>
  </w:endnote>
  <w:endnote w:type="continuationSeparator" w:id="0">
    <w:p w:rsidR="00E553B2" w:rsidRDefault="00E553B2" w:rsidP="003F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D2" w:rsidRPr="00C262A5" w:rsidRDefault="003F3AD2" w:rsidP="003F3AD2">
    <w:pPr>
      <w:pStyle w:val="Footer"/>
      <w:jc w:val="center"/>
      <w:rPr>
        <w:rFonts w:ascii="Times New Roman" w:hAnsi="Times New Roman" w:cs="Arial"/>
        <w:sz w:val="16"/>
        <w:szCs w:val="20"/>
        <w:highlight w:val="white"/>
      </w:rPr>
    </w:pPr>
    <w:r>
      <w:rPr>
        <w:rFonts w:ascii="Times New Roman" w:hAnsi="Times New Roman" w:cs="Arial"/>
        <w:sz w:val="16"/>
        <w:szCs w:val="20"/>
        <w:highlight w:val="white"/>
      </w:rPr>
      <w:t>10</w:t>
    </w:r>
    <w:r w:rsidRPr="00C262A5">
      <w:rPr>
        <w:rFonts w:ascii="Times New Roman" w:hAnsi="Times New Roman" w:cs="Arial"/>
        <w:sz w:val="16"/>
        <w:szCs w:val="20"/>
        <w:highlight w:val="white"/>
      </w:rPr>
      <w:t>-</w:t>
    </w:r>
    <w:r w:rsidRPr="00C262A5">
      <w:rPr>
        <w:rFonts w:ascii="Times New Roman" w:hAnsi="Times New Roman" w:cs="Arial"/>
        <w:sz w:val="16"/>
        <w:szCs w:val="20"/>
        <w:highlight w:val="white"/>
      </w:rPr>
      <w:fldChar w:fldCharType="begin"/>
    </w:r>
    <w:r w:rsidRPr="00C262A5">
      <w:rPr>
        <w:rFonts w:ascii="Times New Roman" w:hAnsi="Times New Roman" w:cs="Arial"/>
        <w:sz w:val="16"/>
        <w:szCs w:val="20"/>
        <w:highlight w:val="white"/>
      </w:rPr>
      <w:instrText xml:space="preserve"> PAGE   \* MERGEFORMAT </w:instrText>
    </w:r>
    <w:r w:rsidRPr="00C262A5">
      <w:rPr>
        <w:rFonts w:ascii="Times New Roman" w:hAnsi="Times New Roman" w:cs="Arial"/>
        <w:sz w:val="16"/>
        <w:szCs w:val="20"/>
        <w:highlight w:val="white"/>
      </w:rPr>
      <w:fldChar w:fldCharType="separate"/>
    </w:r>
    <w:r w:rsidR="00E553B2">
      <w:rPr>
        <w:rFonts w:ascii="Times New Roman" w:hAnsi="Times New Roman" w:cs="Arial"/>
        <w:noProof/>
        <w:sz w:val="16"/>
        <w:szCs w:val="20"/>
        <w:highlight w:val="white"/>
      </w:rPr>
      <w:t>1</w:t>
    </w:r>
    <w:r w:rsidRPr="00C262A5">
      <w:rPr>
        <w:rFonts w:ascii="Times New Roman" w:hAnsi="Times New Roman" w:cs="Arial"/>
        <w:noProof/>
        <w:sz w:val="16"/>
        <w:szCs w:val="20"/>
        <w:highlight w:val="white"/>
      </w:rPr>
      <w:fldChar w:fldCharType="end"/>
    </w:r>
  </w:p>
  <w:p w:rsidR="003F3AD2" w:rsidRPr="00C262A5" w:rsidRDefault="003F3AD2" w:rsidP="003F3AD2">
    <w:pPr>
      <w:spacing w:after="0" w:line="240" w:lineRule="auto"/>
      <w:jc w:val="center"/>
      <w:rPr>
        <w:rFonts w:ascii="Times New Roman" w:eastAsia="Times New Roman" w:hAnsi="Times New Roman" w:cs="Times New Roman"/>
        <w:sz w:val="16"/>
        <w:szCs w:val="16"/>
        <w:lang w:val="en-IN"/>
      </w:rPr>
    </w:pPr>
    <w:r w:rsidRPr="00C262A5">
      <w:rPr>
        <w:rFonts w:ascii="Times New Roman" w:eastAsia="Times New Roman" w:hAnsi="Times New Roman" w:cs="Times New Roman"/>
        <w:sz w:val="16"/>
        <w:szCs w:val="16"/>
        <w:lang w:val="en-IN"/>
      </w:rPr>
      <w:t>Copyright © 201</w:t>
    </w:r>
    <w:r>
      <w:rPr>
        <w:rFonts w:ascii="Times New Roman" w:eastAsia="Times New Roman" w:hAnsi="Times New Roman" w:cs="Times New Roman"/>
        <w:sz w:val="16"/>
        <w:szCs w:val="16"/>
        <w:lang w:val="en-IN"/>
      </w:rPr>
      <w:t>4</w:t>
    </w:r>
    <w:r w:rsidRPr="00C262A5">
      <w:rPr>
        <w:rFonts w:ascii="Times New Roman" w:eastAsia="Times New Roman" w:hAnsi="Times New Roman" w:cs="Times New Roman"/>
        <w:sz w:val="16"/>
        <w:szCs w:val="16"/>
        <w:lang w:val="en-IN"/>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B2" w:rsidRDefault="00E553B2" w:rsidP="003F3AD2">
      <w:pPr>
        <w:spacing w:after="0" w:line="240" w:lineRule="auto"/>
      </w:pPr>
      <w:r>
        <w:separator/>
      </w:r>
    </w:p>
  </w:footnote>
  <w:footnote w:type="continuationSeparator" w:id="0">
    <w:p w:rsidR="00E553B2" w:rsidRDefault="00E553B2" w:rsidP="003F3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mirrorMargi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C"/>
    <w:rsid w:val="0014179A"/>
    <w:rsid w:val="003F3AD2"/>
    <w:rsid w:val="009D475C"/>
    <w:rsid w:val="00E553B2"/>
    <w:rsid w:val="00E55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CCF2F-B249-47D8-9739-C235F1CD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AD2"/>
    <w:rPr>
      <w:rFonts w:ascii="Tahoma" w:hAnsi="Tahoma" w:cs="Tahoma"/>
      <w:sz w:val="16"/>
      <w:szCs w:val="16"/>
    </w:rPr>
  </w:style>
  <w:style w:type="paragraph" w:styleId="Header">
    <w:name w:val="header"/>
    <w:basedOn w:val="Normal"/>
    <w:link w:val="HeaderChar"/>
    <w:uiPriority w:val="99"/>
    <w:unhideWhenUsed/>
    <w:rsid w:val="003F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AD2"/>
  </w:style>
  <w:style w:type="paragraph" w:styleId="Footer">
    <w:name w:val="footer"/>
    <w:basedOn w:val="Normal"/>
    <w:link w:val="FooterChar"/>
    <w:uiPriority w:val="99"/>
    <w:unhideWhenUsed/>
    <w:rsid w:val="003F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2017-08-15T22:21:00Z</dcterms:created>
  <dcterms:modified xsi:type="dcterms:W3CDTF">2017-08-15T22:21:00Z</dcterms:modified>
</cp:coreProperties>
</file>