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42FC" w:rsidRDefault="00E442FC" w:rsidP="00E442FC">
      <w:pPr>
        <w:spacing w:before="372" w:after="0"/>
        <w:jc w:val="right"/>
        <w:rPr>
          <w:rFonts w:ascii="Arial Unicode MS" w:eastAsia="Arial Unicode MS" w:hAnsi="Arial Unicode MS" w:cs="Arial Unicode MS"/>
          <w:color w:val="000000"/>
          <w:sz w:val="28"/>
        </w:rPr>
      </w:pPr>
      <w:bookmarkStart w:id="0" w:name="_GoBack"/>
      <w:bookmarkEnd w:id="0"/>
      <w:r>
        <w:rPr>
          <w:rFonts w:ascii="Arial Unicode MS" w:eastAsia="Arial Unicode MS" w:hAnsi="Arial Unicode MS" w:cs="Arial Unicode MS"/>
          <w:color w:val="000000"/>
          <w:sz w:val="28"/>
        </w:rPr>
        <w:t>Chapter 08</w:t>
      </w:r>
    </w:p>
    <w:p w:rsidR="003D754A" w:rsidRDefault="00E442FC" w:rsidP="00E442FC">
      <w:pPr>
        <w:spacing w:before="372" w:after="0"/>
        <w:jc w:val="right"/>
      </w:pPr>
      <w:r>
        <w:rPr>
          <w:rFonts w:ascii="Arial Unicode MS" w:eastAsia="Arial Unicode MS" w:hAnsi="Arial Unicode MS" w:cs="Arial Unicode MS"/>
          <w:color w:val="000000"/>
          <w:sz w:val="28"/>
        </w:rPr>
        <w:t>Interest Rate Risk I</w:t>
      </w:r>
    </w:p>
    <w:p w:rsidR="003D754A" w:rsidRDefault="00E442FC">
      <w:pPr>
        <w:spacing w:after="0"/>
      </w:pPr>
      <w:r>
        <w:rPr>
          <w:rFonts w:ascii="Arial Unicode MS" w:eastAsia="Arial Unicode MS" w:hAnsi="Arial Unicode MS" w:cs="Arial Unicode MS"/>
          <w:color w:val="000000"/>
          <w:sz w:val="18"/>
        </w:rPr>
        <w:t> </w:t>
      </w:r>
    </w:p>
    <w:p w:rsidR="003D754A" w:rsidRDefault="00E442FC">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True / False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1.</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economic insolvency of many thrift institutions during the 1980s was due, at least in part, to unexpected increases in interest rates.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2.</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Because of its complexity, small depository institutions rarely use the repricing, or funding gap, model.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3.</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When the Fed finds it necessary to slow economic activity, it allows interest rates to fall.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4.</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Because the increased level of financial market integration has increased the speed with which interest rate changes are transmitted among countries, control of U.S. interest rates by the Federal Reserve is more difficult and less certain.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lastRenderedPageBreak/>
              <w:t>5.</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Bank for International Settlements (BIS) requires depository institutions to have interest rate risk management systems.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6.</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 xml:space="preserve">The repricing gap model is a book value </w:t>
            </w:r>
            <w:proofErr w:type="gramStart"/>
            <w:r>
              <w:rPr>
                <w:rFonts w:ascii="Arial Unicode MS" w:eastAsia="Arial Unicode MS" w:hAnsi="Arial Unicode MS" w:cs="Arial Unicode MS"/>
                <w:color w:val="000000"/>
                <w:sz w:val="20"/>
              </w:rPr>
              <w:t>accounting based</w:t>
            </w:r>
            <w:proofErr w:type="gramEnd"/>
            <w:r>
              <w:rPr>
                <w:rFonts w:ascii="Arial Unicode MS" w:eastAsia="Arial Unicode MS" w:hAnsi="Arial Unicode MS" w:cs="Arial Unicode MS"/>
                <w:color w:val="000000"/>
                <w:sz w:val="20"/>
              </w:rPr>
              <w:t xml:space="preserve"> model.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7.</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maturity gap model estimates the difference between interest earned and interest paid during a given period of time.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8.</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In the repricing gap model, assets or liabilities are rate sensitive within a given time period if the dollar values of each are subject to receiving a different interest rate should market rates change.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9.</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repricing model is a simplistic approach to focusing on the exposure of net interest income to changes in market levels of interest rates for given maturity periods.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10.</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A positive repricing gap implies that a decrease in interest rates will cause interest expense to decrease more than the decrease in interest income.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lastRenderedPageBreak/>
              <w:t>11.</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cumulative repricing gap position of an FI for a given extended time period is the sum of the repricing gap values for the individual time periods that make up the extended time period.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12.</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When a bank's repricing gap is positive, net interest income is positively related to changes in interest rates.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13.</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A bank with a negative repricing (or funding) gap faces reinvestment risk.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14.</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A bank with a negative repricing (or funding) gap faces refinancing risk.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15.</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One reason to include demand deposits when estimating a bank's repricing gap is because rising interest rates could lead to high withdrawals.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16.</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One reason to exclude demand deposits when estimating a bank's repricing gap is because, by regulation, explicit interest cannot be paid on these deposits.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17.</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Retail passbook savings accounts should be considered as part of rate sensitive liabilities because the rates on these accounts rarely change.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lastRenderedPageBreak/>
              <w:t>18.</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Runoff in demand deposits in a repricing model is typically lower during periods of falling interest rates.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19.</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gap ratio is useful because it indicates the scale of the interest rate exposure by dividing the gap by the asset size of the institution.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20.</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Because the repricing model ignores the market value effect of changing interest rates, the repricing gap is an incomplete measure of the true interest rate risk exposure of an FI.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21.</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Defining buckets of time over a range of maturities assures the capture of all relevant information necessary to accurately assess the interest rate risk exposure of an FI.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22.</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Defining buckets of time over wider intervals creates greater accuracy in the use of the repricing model because fewer calculations are required.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23.</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If the interest rate spread between rate sensitive assets and rate sensitive liabilities increases for a bank, future increases in interest rates will lead to an increase in net interest income.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lastRenderedPageBreak/>
              <w:t>24.</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In general, the interest rate spread (spread effect) between rate sensitive assets and rate sensitive liabilities is positively related to the change in net interest income.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25.</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To be more precise in measuring interest rate risk, the runoff component of long-term mortgages should be considered in the time buckets in which the maturities actually occur.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26.</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When interest rates increase, banks are more likely to be forced to increase rate-sensitive liabilities to replace decreased balances in demand deposits and savings accounts.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27.</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For a given change in interest rates, fixed-rate assets with long-term maturities will have smaller changes in price than assets with shorter maturities.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28.</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market value of a fixed-rate liability will decrease as interest rates rise, just as the market value of a fixed-rate asset will decrease as interest rates rise.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29.</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market value of a fixed-rate liability will increase as interest rates rise, although the market value of a fixed-rate asset will decrease as interest rates rise.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lastRenderedPageBreak/>
              <w:t>30.</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change in economic value of a fixed-rate liability for a decrease in interest rates is considered to be good news.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31.</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For a given change in interest rates, fixed-rate liabilities with longer-term maturities will have smaller changes in price than liabilities with shorter maturities.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32.</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For a given change in interest rates, the change in price for each additional year of maturity of a fixed-rate asset is smaller as the maturity increases.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33.</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maturity of a portfolio of assets or liabilities is a weighted average of the maturities of the assets or liabilities that comprise that portfolio.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34.</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If the average maturity of assets is 4 years and the average maturity of liabilities is 4 years, then the FI has no interest rate risk exposure.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35.</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If the average maturity of assets is 5 years and the average maturity of liabilities is 7 years, then the FI has no interest rate risk exposure.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lastRenderedPageBreak/>
              <w:t>36.</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maturity gap for a bank is the weighted average maturity of the assets minus the weighted average maturity of the liabilities.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3D754A" w:rsidRDefault="00E442FC">
      <w:pPr>
        <w:keepLines/>
        <w:spacing w:after="0"/>
      </w:pPr>
      <w:r>
        <w:rPr>
          <w:rFonts w:ascii="Arial Unicode MS" w:eastAsia="Arial Unicode MS" w:hAnsi="Arial Unicode MS" w:cs="Arial Unicode MS"/>
          <w:color w:val="000000"/>
          <w:sz w:val="18"/>
        </w:rPr>
        <w:t> </w:t>
      </w:r>
    </w:p>
    <w:p w:rsidR="003D754A" w:rsidRDefault="00E442FC">
      <w:pPr>
        <w:spacing w:after="0"/>
      </w:pPr>
      <w:r>
        <w:rPr>
          <w:rFonts w:ascii="Arial Unicode MS" w:eastAsia="Arial Unicode MS" w:hAnsi="Arial Unicode MS" w:cs="Arial Unicode MS"/>
          <w:color w:val="000000"/>
          <w:sz w:val="18"/>
        </w:rPr>
        <w:t> </w:t>
      </w:r>
    </w:p>
    <w:p w:rsidR="003D754A" w:rsidRDefault="00E442FC">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Multiple Choice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37.</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net worth of a bank is the difference between the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549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value of retained earnings and the provision for loan losses.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26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market value of assets and the market value of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451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book value of assets and book value of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458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rate-sensitive assets and rate-sensitive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174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None of the above.</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38.</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Because of its simplicity, smaller depository institutions still use this model as their primary measure of interest rate risk.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18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repricing model.</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84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 xml:space="preserve">The maturity </w:t>
                  </w:r>
                  <w:proofErr w:type="gramStart"/>
                  <w:r>
                    <w:rPr>
                      <w:rFonts w:ascii="Arial Unicode MS" w:eastAsia="Arial Unicode MS" w:hAnsi="Arial Unicode MS" w:cs="Arial Unicode MS"/>
                      <w:color w:val="000000"/>
                      <w:sz w:val="20"/>
                    </w:rPr>
                    <w:t>model</w:t>
                  </w:r>
                  <w:proofErr w:type="gramEnd"/>
                  <w:r>
                    <w:rPr>
                      <w:rFonts w:ascii="Arial Unicode MS" w:eastAsia="Arial Unicode MS" w:hAnsi="Arial Unicode MS" w:cs="Arial Unicode MS"/>
                      <w:color w:val="000000"/>
                      <w:sz w:val="20"/>
                    </w:rPr>
                    <w:t>.</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185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 xml:space="preserve">The duration </w:t>
                  </w:r>
                  <w:proofErr w:type="gramStart"/>
                  <w:r>
                    <w:rPr>
                      <w:rFonts w:ascii="Arial Unicode MS" w:eastAsia="Arial Unicode MS" w:hAnsi="Arial Unicode MS" w:cs="Arial Unicode MS"/>
                      <w:color w:val="000000"/>
                      <w:sz w:val="20"/>
                    </w:rPr>
                    <w:t>model</w:t>
                  </w:r>
                  <w:proofErr w:type="gramEnd"/>
                  <w:r>
                    <w:rPr>
                      <w:rFonts w:ascii="Arial Unicode MS" w:eastAsia="Arial Unicode MS" w:hAnsi="Arial Unicode MS" w:cs="Arial Unicode MS"/>
                      <w:color w:val="000000"/>
                      <w:sz w:val="20"/>
                    </w:rPr>
                    <w:t>.</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194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 xml:space="preserve">The convexity </w:t>
                  </w:r>
                  <w:proofErr w:type="gramStart"/>
                  <w:r>
                    <w:rPr>
                      <w:rFonts w:ascii="Arial Unicode MS" w:eastAsia="Arial Unicode MS" w:hAnsi="Arial Unicode MS" w:cs="Arial Unicode MS"/>
                      <w:color w:val="000000"/>
                      <w:sz w:val="20"/>
                    </w:rPr>
                    <w:t>model</w:t>
                  </w:r>
                  <w:proofErr w:type="gramEnd"/>
                  <w:r>
                    <w:rPr>
                      <w:rFonts w:ascii="Arial Unicode MS" w:eastAsia="Arial Unicode MS" w:hAnsi="Arial Unicode MS" w:cs="Arial Unicode MS"/>
                      <w:color w:val="000000"/>
                      <w:sz w:val="20"/>
                    </w:rPr>
                    <w:t>.</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234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option pricing model.</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lastRenderedPageBreak/>
              <w:t>39.</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repricing gap approach calculates the gaps in each maturity bucket by subtracting the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381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current assets from the current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80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long term liabilities from the fixed assets.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391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rate sensitive assets from the total assets.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496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rate sensitive liabilities from the rate sensitive assets.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353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current liabilities from tangible assets.</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40.</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Which of the following observations about the repricing model is correct?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283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Its information value is limited.</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2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It accounts for the problem of rate-insensitive asset and liability runoffs and prepayments.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575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It accommodates cash flows from off-balance-sheet activities.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633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It helps to determine an FI's profit exposure to interest rate changes.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532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It considers market value effects of interest rate changes.</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41.</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When repricing all interest sensitive assets and all interest sensitive liabilities in a balance sheet, the cumulative gap will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44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zero.</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9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one.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158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greater than one.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154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 negative value.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67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infinity.</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lastRenderedPageBreak/>
              <w:t>42.</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repricing gap does not accurately measure FI interest rate risk exposure because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696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FIs cannot accurately predict the magnitude change in future interest rates.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03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FIs cannot accurately predict the direction of change in future interest rates.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839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accounting systems are not accurate enough to allow the calculation of precise gap measures.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816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it does not recognize timing differences in cash flows within the same maturity grouping.</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159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equity is omitted.</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43.</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An FI's net interest income reflects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246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its asset-liability structure.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48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rates of interest when the assets and liabilities were put on the books.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387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riskiness of its loans and investments.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521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cost of its deposit and non-deposit sources of funds.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148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All of the above.</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44.</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A positive gap implies that an increase in interest rates will cause _______ in net interest income.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95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no change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00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 decrease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106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an increase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227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an unpredictable change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122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Either A or B.</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lastRenderedPageBreak/>
              <w:t>45.</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If interest rates decrease 50 basis points for an FI that has a gap of +$5 million, the expected change in net interest income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86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 $2,500.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97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 $25,000.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108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 $250,000.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103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 $250,000.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91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 $25,000.</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46.</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If interest rates increase 75 basis points for an FI that has a gap of -$15 million, the expected change in net interest income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97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-$112,500.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03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+$112,500.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130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+$1,125,0000.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124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-$1,125,0000.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97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-$150,000.</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47.</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If interest rates decrease 40 basis points (0.40 percent) for an FI that has a cumulative gap of -$25 million, the expected change in net interest income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103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+$100,000.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97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-$100,000.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97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-$625,000.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97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-$250,000.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103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+$250,000.</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lastRenderedPageBreak/>
              <w:t>48.</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 xml:space="preserve">An FI finances a $250,000 2-year fixed-rate loan with a $200,000 1-year fixed-rate CD. Use the repricing model to determine (a) the FI's repricing (or funding) gap using a 1-year maturity bucket, and (b) the impact of a </w:t>
            </w:r>
            <w:proofErr w:type="gramStart"/>
            <w:r>
              <w:rPr>
                <w:rFonts w:ascii="Arial Unicode MS" w:eastAsia="Arial Unicode MS" w:hAnsi="Arial Unicode MS" w:cs="Arial Unicode MS"/>
                <w:color w:val="000000"/>
                <w:sz w:val="20"/>
              </w:rPr>
              <w:t>100 basis</w:t>
            </w:r>
            <w:proofErr w:type="gramEnd"/>
            <w:r>
              <w:rPr>
                <w:rFonts w:ascii="Arial Unicode MS" w:eastAsia="Arial Unicode MS" w:hAnsi="Arial Unicode MS" w:cs="Arial Unicode MS"/>
                <w:color w:val="000000"/>
                <w:sz w:val="20"/>
              </w:rPr>
              <w:t xml:space="preserve"> point (0.01) decrease in interest rates on the FI's annual net interest income?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62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$0; $0.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84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-$200,000; +$2,000.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178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-$200,000; -$2,000.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157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+$50,000; -$500.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178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-$200,000; -$1,000.</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49.</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gap ratio expresses the reprice gap for a given time period as a percentage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61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equity.</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35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total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159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current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112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total assets.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137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current assets.</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50.</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What is spread effect?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840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Periodic cash flow of interest and principal amortization payments on long-term assets that can be reinvested at market rates.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effect that a change in the spread between rates on RSAs and RSLs has on net interest income as interest rates change.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655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effect of mismatch of asset and liabilities within a maturity bucket.</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739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premium paid to compensate for the future uncertainty in a security's value.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296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value of an FI to its owners.</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lastRenderedPageBreak/>
              <w:t>51.</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If an FI's repricing gap is less than zero, then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341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it is deficient in its required reserves.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08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it is deficient in its capital ratio requirement.</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839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its liability costs are more sensitive to changing market interest rates than are its asset yields.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838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its liability costs are less sensitive to changing market interest rates than are its asset yields.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630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duration of the FI's liabilities exceeds the duration of FI's assets.</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52.</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A bank that finances long-term fixed-rate mortgages with short-term deposits is exposed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840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increases in net interest income and decreases in the market value of equity when interest rates fall.</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decreases in net interest income and decreases in the market value of equity when interest rates fall.</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839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decreases in net interest income and increases in the market value of equity when interest rates increase.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838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increases in net interest income and increases in the market value of equity when interest rates increase.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840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decreases in net interest income and decreases in the market value of equity when interest rates increase.</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lastRenderedPageBreak/>
              <w:t>53.</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repricing model measures the impact of unanticipated changes in interest rates 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245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market value of equity.</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83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net interest income.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481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both market value of equity and net interest income.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219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FI's capital position.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314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prices of assets and liabilities.</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54.</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If the chosen maturity buckets have a time period that is too long, the repricing model may produce inaccurate results because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577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as the time to maturity increases, the price volatility increases.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35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price changes will be overestimated.</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839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there may be large differentials in the time to repricing for different securities within each maturity bucket.</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737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FI will be unable to accurately measure the quantity of rate sensitive assets.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760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FI will be unable to accurately measure the quantity of rate sensitive liabilities.</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55.</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An increase in interest rates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629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increases the market value of the FI's financial assets and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35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decreases the market value of the FI's financial assets and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615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decreases the book value of the FI's financial assets and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609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increases the book value of the FI's financial assets and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699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 xml:space="preserve">has no impact on the market value of the FI's financial assets and </w:t>
                  </w:r>
                  <w:proofErr w:type="gramStart"/>
                  <w:r>
                    <w:rPr>
                      <w:rFonts w:ascii="Arial Unicode MS" w:eastAsia="Arial Unicode MS" w:hAnsi="Arial Unicode MS" w:cs="Arial Unicode MS"/>
                      <w:color w:val="000000"/>
                      <w:sz w:val="20"/>
                    </w:rPr>
                    <w:t>liabilities.</w:t>
                  </w:r>
                  <w:proofErr w:type="gramEnd"/>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lastRenderedPageBreak/>
              <w:t>56.</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Which of the following describes the condition known as runoff in the repricing model approach to measuring interest rate risk of an FI?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840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Periodic cash flow of interest and principal amortization payments on long-term assets that can be reinvested at market rates.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effect that a change in the spread between rates on RSAs and RSLs has on net interest income as interest rates change.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533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Mismatch of asset and liabilities within a maturity bucket.</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775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relations between changes in interest rates and changes in net interest income.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571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Those deposits that act as an FI's long-term sources of funds.</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57.</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A method of measuring the interest rate or gap exposure of an FI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179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 xml:space="preserve">the duration </w:t>
                  </w:r>
                  <w:proofErr w:type="gramStart"/>
                  <w:r>
                    <w:rPr>
                      <w:rFonts w:ascii="Arial Unicode MS" w:eastAsia="Arial Unicode MS" w:hAnsi="Arial Unicode MS" w:cs="Arial Unicode MS"/>
                      <w:color w:val="000000"/>
                      <w:sz w:val="20"/>
                    </w:rPr>
                    <w:t>model</w:t>
                  </w:r>
                  <w:proofErr w:type="gramEnd"/>
                  <w:r>
                    <w:rPr>
                      <w:rFonts w:ascii="Arial Unicode MS" w:eastAsia="Arial Unicode MS" w:hAnsi="Arial Unicode MS" w:cs="Arial Unicode MS"/>
                      <w:color w:val="000000"/>
                      <w:sz w:val="20"/>
                    </w:rPr>
                    <w:t>.</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79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 xml:space="preserve">the maturity </w:t>
                  </w:r>
                  <w:proofErr w:type="gramStart"/>
                  <w:r>
                    <w:rPr>
                      <w:rFonts w:ascii="Arial Unicode MS" w:eastAsia="Arial Unicode MS" w:hAnsi="Arial Unicode MS" w:cs="Arial Unicode MS"/>
                      <w:color w:val="000000"/>
                      <w:sz w:val="20"/>
                    </w:rPr>
                    <w:t>model</w:t>
                  </w:r>
                  <w:proofErr w:type="gramEnd"/>
                  <w:r>
                    <w:rPr>
                      <w:rFonts w:ascii="Arial Unicode MS" w:eastAsia="Arial Unicode MS" w:hAnsi="Arial Unicode MS" w:cs="Arial Unicode MS"/>
                      <w:color w:val="000000"/>
                      <w:sz w:val="20"/>
                    </w:rPr>
                    <w:t>.</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183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repricing model.</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211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funding gap model.</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148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All of the above.</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58.</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repricing model is based on an accounting world that reports asset and liability values at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172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 xml:space="preserve">their market </w:t>
                  </w:r>
                  <w:proofErr w:type="gramStart"/>
                  <w:r>
                    <w:rPr>
                      <w:rFonts w:ascii="Arial Unicode MS" w:eastAsia="Arial Unicode MS" w:hAnsi="Arial Unicode MS" w:cs="Arial Unicode MS"/>
                      <w:color w:val="000000"/>
                      <w:sz w:val="20"/>
                    </w:rPr>
                    <w:t>value</w:t>
                  </w:r>
                  <w:proofErr w:type="gramEnd"/>
                  <w:r>
                    <w:rPr>
                      <w:rFonts w:ascii="Arial Unicode MS" w:eastAsia="Arial Unicode MS" w:hAnsi="Arial Unicode MS" w:cs="Arial Unicode MS"/>
                      <w:color w:val="000000"/>
                      <w:sz w:val="20"/>
                    </w:rPr>
                    <w:t>.</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52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 xml:space="preserve">their book </w:t>
                  </w:r>
                  <w:proofErr w:type="gramStart"/>
                  <w:r>
                    <w:rPr>
                      <w:rFonts w:ascii="Arial Unicode MS" w:eastAsia="Arial Unicode MS" w:hAnsi="Arial Unicode MS" w:cs="Arial Unicode MS"/>
                      <w:color w:val="000000"/>
                      <w:sz w:val="20"/>
                    </w:rPr>
                    <w:t>value</w:t>
                  </w:r>
                  <w:proofErr w:type="gramEnd"/>
                  <w:r>
                    <w:rPr>
                      <w:rFonts w:ascii="Arial Unicode MS" w:eastAsia="Arial Unicode MS" w:hAnsi="Arial Unicode MS" w:cs="Arial Unicode MS"/>
                      <w:color w:val="000000"/>
                      <w:sz w:val="20"/>
                    </w:rPr>
                    <w:t>.</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265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their historic values or costs.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148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All of the above.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206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Answers B and C only.</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lastRenderedPageBreak/>
              <w:t>59.</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Which of the following is a weakness of the repricing model to measure interest rate risk?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753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 xml:space="preserve">Potential for </w:t>
                  </w:r>
                  <w:proofErr w:type="spellStart"/>
                  <w:r>
                    <w:rPr>
                      <w:rFonts w:ascii="Arial Unicode MS" w:eastAsia="Arial Unicode MS" w:hAnsi="Arial Unicode MS" w:cs="Arial Unicode MS"/>
                      <w:color w:val="000000"/>
                      <w:sz w:val="20"/>
                    </w:rPr>
                    <w:t>overaggregation</w:t>
                  </w:r>
                  <w:proofErr w:type="spellEnd"/>
                  <w:r>
                    <w:rPr>
                      <w:rFonts w:ascii="Arial Unicode MS" w:eastAsia="Arial Unicode MS" w:hAnsi="Arial Unicode MS" w:cs="Arial Unicode MS"/>
                      <w:color w:val="000000"/>
                      <w:sz w:val="20"/>
                    </w:rPr>
                    <w:t xml:space="preserve"> of assets and liabilities within each maturity bucket.</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06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It ignores how changes in interest rates affect the market value of assets and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839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It ignores the reinvestment of loan interest and principal payments that are reinvested at current market rates.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684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It fails to recognize off-balance-sheet activities that may be rate sensitive.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148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All of the above.</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60.</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repricing model ignores information regarding the distribution of assets and liabilities within maturity buckets. This limitation of the model refers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183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market value effect.</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53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proofErr w:type="spellStart"/>
                  <w:r>
                    <w:rPr>
                      <w:rFonts w:ascii="Arial Unicode MS" w:eastAsia="Arial Unicode MS" w:hAnsi="Arial Unicode MS" w:cs="Arial Unicode MS"/>
                      <w:color w:val="000000"/>
                      <w:sz w:val="20"/>
                    </w:rPr>
                    <w:t>overaggregation</w:t>
                  </w:r>
                  <w:proofErr w:type="spellEnd"/>
                  <w:r>
                    <w:rPr>
                      <w:rFonts w:ascii="Arial Unicode MS" w:eastAsia="Arial Unicode MS" w:hAnsi="Arial Unicode MS" w:cs="Arial Unicode MS"/>
                      <w:color w:val="000000"/>
                      <w:sz w:val="20"/>
                    </w:rPr>
                    <w:t>.</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245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runoffs and pre-payments.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134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OBS activities.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162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spread effect.</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61.</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An interest rate increase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613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benefits the FI by increasing the market value of the FI's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95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harms the FI by increasing the market value of the FI's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601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harms the FI by decreasing the market value of the FI's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619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benefits the FI by decreasing the market value of the FI's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596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benefits the FI by decreasing the market value of the FI's assets.</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lastRenderedPageBreak/>
              <w:t>62.</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Which of the following statements is true?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840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An increase in interest rates leads to an increase in the market value of financial securities.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 xml:space="preserve">Value of </w:t>
                  </w:r>
                  <w:proofErr w:type="gramStart"/>
                  <w:r>
                    <w:rPr>
                      <w:rFonts w:ascii="Arial Unicode MS" w:eastAsia="Arial Unicode MS" w:hAnsi="Arial Unicode MS" w:cs="Arial Unicode MS"/>
                      <w:color w:val="000000"/>
                      <w:sz w:val="20"/>
                    </w:rPr>
                    <w:t>longer term</w:t>
                  </w:r>
                  <w:proofErr w:type="gramEnd"/>
                  <w:r>
                    <w:rPr>
                      <w:rFonts w:ascii="Arial Unicode MS" w:eastAsia="Arial Unicode MS" w:hAnsi="Arial Unicode MS" w:cs="Arial Unicode MS"/>
                      <w:color w:val="000000"/>
                      <w:sz w:val="20"/>
                    </w:rPr>
                    <w:t xml:space="preserve"> securities decreases at a diminishing rate for increases in interest rates.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839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 xml:space="preserve">Value of </w:t>
                  </w:r>
                  <w:proofErr w:type="gramStart"/>
                  <w:r>
                    <w:rPr>
                      <w:rFonts w:ascii="Arial Unicode MS" w:eastAsia="Arial Unicode MS" w:hAnsi="Arial Unicode MS" w:cs="Arial Unicode MS"/>
                      <w:color w:val="000000"/>
                      <w:sz w:val="20"/>
                    </w:rPr>
                    <w:t>longer term</w:t>
                  </w:r>
                  <w:proofErr w:type="gramEnd"/>
                  <w:r>
                    <w:rPr>
                      <w:rFonts w:ascii="Arial Unicode MS" w:eastAsia="Arial Unicode MS" w:hAnsi="Arial Unicode MS" w:cs="Arial Unicode MS"/>
                      <w:color w:val="000000"/>
                      <w:sz w:val="20"/>
                    </w:rPr>
                    <w:t xml:space="preserve"> securities increases at an increasing rate for any decline in interest rates.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838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shorter the maturity of a fixed income asset or liability, the greater the fall in market value for any given interest rate increase.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840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longer the maturity of a fixed income asset or liability, the greater the fall in market value for any given interest rate decrease.</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63.</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Can an FI immunize itself against interest rate risk exposure even though its maturity gap is not zero?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840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Yes, because with a maturity gap of zero the change in the market value of assets exactly offsets the change in the market value of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No, because with a maturity gap of zero the change in the market value of assets exactly offsets the change in the market value of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703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Yes, because the maturity model does not consider the timing of cash flows.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838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No, because the timing of cash flows is relevant to immunization against interest rate risk exposure.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696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No, because a representative bank will always have a positive maturity gap.</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lastRenderedPageBreak/>
              <w:t>64.</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Which of the following relationships does NOT hold in the pricing of fixed-rate assets given changes in market rate?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742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 decrease in interest rates generally leads to an increase in the value of assets.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Longer maturity assets have greater changes in price than shorter maturity assets for given changes in interest rates.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839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absolute change in price per unit of maturity time for given changes in interest rates decreases over time, although the relative changes actually increase.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838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For a given percentage decrease in interest rates, assets will increase in price more than they will decrease in price for the same, but opposite increase in rates.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174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None of the above.</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65.</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average maturity of the liabilities of an FI's balance sheet is equal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840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weighted-average of the liabilities where the weights are determined relative to the total liabilities and equity of the FI.</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weighted-average of the liabilities where the weights are determined relative to the total liabilities of the FI.</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839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weighted-average of the liabilities where the weights are determined relative to the total assets of the FI.</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838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weighted-average of the liabilities where the weights are determined using market values of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174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None of the above.</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3D754A">
            <w:pPr>
              <w:keepNext/>
              <w:keepLines/>
              <w:rPr>
                <w:sz w:val="2"/>
              </w:rPr>
            </w:pP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balance sheet of XYZ Bank appears below. All figures in millions of US Dollars.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7B6CF6CE" wp14:editId="1E452FEE">
                  <wp:extent cx="4332514" cy="2982685"/>
                  <wp:effectExtent l="0" t="0" r="0" b="0"/>
                  <wp:docPr id="1" name="https://www.eztestonline.com/tomhardej/13799276218234500712.tp4?REQUEST=SHOWmedia&amp;media=image002PRINT.png"/>
                  <wp:cNvGraphicFramePr/>
                  <a:graphic xmlns:a="http://schemas.openxmlformats.org/drawingml/2006/main">
                    <a:graphicData uri="http://schemas.openxmlformats.org/drawingml/2006/picture">
                      <pic:pic xmlns:pic="http://schemas.openxmlformats.org/drawingml/2006/picture">
                        <pic:nvPicPr>
                          <pic:cNvPr id="0" name="https://www.eztestonline.com/tomhardej/13799276218234500712.tp4?REQUEST=SHOWmedia&amp;media=image002PRINT.png"/>
                          <pic:cNvPicPr/>
                        </pic:nvPicPr>
                        <pic:blipFill>
                          <a:blip r:embed="rId6"/>
                          <a:stretch/>
                        </pic:blipFill>
                        <pic:spPr>
                          <a:xfrm>
                            <a:off x="0" y="0"/>
                            <a:ext cx="4332514" cy="2982685"/>
                          </a:xfrm>
                          <a:prstGeom prst="rect">
                            <a:avLst/>
                          </a:prstGeom>
                        </pic:spPr>
                      </pic:pic>
                    </a:graphicData>
                  </a:graphic>
                </wp:inline>
              </w:drawing>
            </w:r>
            <w:r>
              <w:rPr>
                <w:rFonts w:ascii="Arial Unicode MS" w:eastAsia="Arial Unicode MS" w:hAnsi="Arial Unicode MS" w:cs="Arial Unicode MS"/>
                <w:color w:val="000000"/>
                <w:sz w:val="20"/>
              </w:rPr>
              <w:t> </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66.</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Total one-year rate-sensitive assets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116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$540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16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$580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116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$555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116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$415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116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$720 million.</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67.</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Total one-year rate-sensitive liabilities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116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$540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16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$580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116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$555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116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$415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116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$720 million.</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lastRenderedPageBreak/>
              <w:t>68.</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cumulative one-year repricing gap (CGAP) for the bank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105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$25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25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$-140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105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$15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125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$-150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114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$-15 million.</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69.</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gap ratio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43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.015.</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2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-.015.</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43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.025.</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52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-.144.</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43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.154.</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70.</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Suppose that interest rates rise by 2 percent on both RSAs and RSLs. The expected annual change in net interest income of the bank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97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-$300,000.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8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$500,000.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113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-$2,800,000.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113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-$3,000,000.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88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$300,000.</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3D754A">
            <w:pPr>
              <w:keepNext/>
              <w:keepLines/>
              <w:rPr>
                <w:sz w:val="2"/>
              </w:rPr>
            </w:pP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following are the assets and liabilities of a government security dealer.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5F4C87DD" wp14:editId="1605114A">
                  <wp:extent cx="3276600" cy="1240971"/>
                  <wp:effectExtent l="0" t="0" r="0" b="0"/>
                  <wp:docPr id="2" name="https://www.eztestonline.com/tomhardej/13799276218234500712.tp4?REQUEST=SHOWmedia&amp;media=image004PRINT.png"/>
                  <wp:cNvGraphicFramePr/>
                  <a:graphic xmlns:a="http://schemas.openxmlformats.org/drawingml/2006/main">
                    <a:graphicData uri="http://schemas.openxmlformats.org/drawingml/2006/picture">
                      <pic:pic xmlns:pic="http://schemas.openxmlformats.org/drawingml/2006/picture">
                        <pic:nvPicPr>
                          <pic:cNvPr id="1" name="https://www.eztestonline.com/tomhardej/13799276218234500712.tp4?REQUEST=SHOWmedia&amp;media=image004PRINT.png"/>
                          <pic:cNvPicPr/>
                        </pic:nvPicPr>
                        <pic:blipFill>
                          <a:blip r:embed="rId7"/>
                          <a:stretch/>
                        </pic:blipFill>
                        <pic:spPr>
                          <a:xfrm>
                            <a:off x="0" y="0"/>
                            <a:ext cx="3276600" cy="1240971"/>
                          </a:xfrm>
                          <a:prstGeom prst="rect">
                            <a:avLst/>
                          </a:prstGeom>
                        </pic:spPr>
                      </pic:pic>
                    </a:graphicData>
                  </a:graphic>
                </wp:inline>
              </w:drawing>
            </w:r>
            <w:r>
              <w:rPr>
                <w:rFonts w:ascii="Arial Unicode MS" w:eastAsia="Arial Unicode MS" w:hAnsi="Arial Unicode MS" w:cs="Arial Unicode MS"/>
                <w:color w:val="000000"/>
                <w:sz w:val="20"/>
              </w:rPr>
              <w:t> </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71.</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Use the repricing model to determine the funding gap for a maturity bucket of 30 days.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125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-$425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14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-$95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114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125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-$475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131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+$150 million.</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72.</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Use the repricing model to determine the funding gap for a maturity bucket of 91 days.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114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-$60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25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-$150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27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125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-$250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125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-$300 million.</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lastRenderedPageBreak/>
              <w:t>73.</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Use the repricing model to determine the funding gap for a maturity bucket of 365 days.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120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+$15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14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-$20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125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-$350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125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-$450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125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-$290 million.</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74.</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What is the impact over the next 30 days on the dealer's net interest income if all interest rates increase by 50 basis points?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419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Net interest income will decrease by $50,000.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74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Net interest income will decrease by $2.125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430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Net interest income will decrease by $475,000.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474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Net interest income will decrease by $2.375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424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Net interest income will increase by $750,000.</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3D754A">
            <w:pPr>
              <w:keepNext/>
              <w:keepLines/>
              <w:rPr>
                <w:sz w:val="2"/>
              </w:rPr>
            </w:pPr>
          </w:p>
        </w:tc>
        <w:tc>
          <w:tcPr>
            <w:tcW w:w="4800" w:type="pct"/>
          </w:tcPr>
          <w:p w:rsidR="003D754A" w:rsidRDefault="00E442FC">
            <w:pPr>
              <w:keepNext/>
              <w:keepLines/>
              <w:spacing w:after="0"/>
            </w:pPr>
            <w:r>
              <w:rPr>
                <w:rFonts w:ascii="Arial Unicode MS" w:eastAsia="Arial Unicode MS" w:hAnsi="Arial Unicode MS" w:cs="Arial Unicode MS"/>
                <w:color w:val="000000"/>
                <w:sz w:val="20"/>
              </w:rPr>
              <w:t xml:space="preserve">The following information details the current rate sensitivity report for </w:t>
            </w:r>
            <w:proofErr w:type="spellStart"/>
            <w:r>
              <w:rPr>
                <w:rFonts w:ascii="Arial Unicode MS" w:eastAsia="Arial Unicode MS" w:hAnsi="Arial Unicode MS" w:cs="Arial Unicode MS"/>
                <w:color w:val="000000"/>
                <w:sz w:val="20"/>
              </w:rPr>
              <w:t>Gotbucks</w:t>
            </w:r>
            <w:proofErr w:type="spellEnd"/>
            <w:r>
              <w:rPr>
                <w:rFonts w:ascii="Arial Unicode MS" w:eastAsia="Arial Unicode MS" w:hAnsi="Arial Unicode MS" w:cs="Arial Unicode MS"/>
                <w:color w:val="000000"/>
                <w:sz w:val="20"/>
              </w:rPr>
              <w:t xml:space="preserve"> Bank, Inc. ($million).</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5B74FBDA" wp14:editId="31EECE56">
                  <wp:extent cx="4778828" cy="1175657"/>
                  <wp:effectExtent l="0" t="0" r="0" b="0"/>
                  <wp:docPr id="3" name="https://www.eztestonline.com/tomhardej/13799276218234500712.tp4?REQUEST=SHOWmedia&amp;media=image006PRINT.png"/>
                  <wp:cNvGraphicFramePr/>
                  <a:graphic xmlns:a="http://schemas.openxmlformats.org/drawingml/2006/main">
                    <a:graphicData uri="http://schemas.openxmlformats.org/drawingml/2006/picture">
                      <pic:pic xmlns:pic="http://schemas.openxmlformats.org/drawingml/2006/picture">
                        <pic:nvPicPr>
                          <pic:cNvPr id="2" name="https://www.eztestonline.com/tomhardej/13799276218234500712.tp4?REQUEST=SHOWmedia&amp;media=image006PRINT.png"/>
                          <pic:cNvPicPr/>
                        </pic:nvPicPr>
                        <pic:blipFill>
                          <a:blip r:embed="rId8"/>
                          <a:stretch/>
                        </pic:blipFill>
                        <pic:spPr>
                          <a:xfrm>
                            <a:off x="0" y="0"/>
                            <a:ext cx="4778828" cy="1175657"/>
                          </a:xfrm>
                          <a:prstGeom prst="rect">
                            <a:avLst/>
                          </a:prstGeom>
                        </pic:spPr>
                      </pic:pic>
                    </a:graphicData>
                  </a:graphic>
                </wp:inline>
              </w:drawing>
            </w:r>
            <w:r>
              <w:rPr>
                <w:rFonts w:ascii="Arial Unicode MS" w:eastAsia="Arial Unicode MS" w:hAnsi="Arial Unicode MS" w:cs="Arial Unicode MS"/>
                <w:color w:val="000000"/>
                <w:sz w:val="20"/>
              </w:rPr>
              <w:t> </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lastRenderedPageBreak/>
              <w:t>75.</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 xml:space="preserve">Calculate the funding gap for </w:t>
            </w:r>
            <w:proofErr w:type="spellStart"/>
            <w:r>
              <w:rPr>
                <w:rFonts w:ascii="Arial Unicode MS" w:eastAsia="Arial Unicode MS" w:hAnsi="Arial Unicode MS" w:cs="Arial Unicode MS"/>
                <w:color w:val="000000"/>
                <w:sz w:val="20"/>
              </w:rPr>
              <w:t>Gotbucks</w:t>
            </w:r>
            <w:proofErr w:type="spellEnd"/>
            <w:r>
              <w:rPr>
                <w:rFonts w:ascii="Arial Unicode MS" w:eastAsia="Arial Unicode MS" w:hAnsi="Arial Unicode MS" w:cs="Arial Unicode MS"/>
                <w:color w:val="000000"/>
                <w:sz w:val="20"/>
              </w:rPr>
              <w:t xml:space="preserve"> Bank using (a) a </w:t>
            </w:r>
            <w:proofErr w:type="gramStart"/>
            <w:r>
              <w:rPr>
                <w:rFonts w:ascii="Arial Unicode MS" w:eastAsia="Arial Unicode MS" w:hAnsi="Arial Unicode MS" w:cs="Arial Unicode MS"/>
                <w:color w:val="000000"/>
                <w:sz w:val="20"/>
              </w:rPr>
              <w:t>30 day</w:t>
            </w:r>
            <w:proofErr w:type="gramEnd"/>
            <w:r>
              <w:rPr>
                <w:rFonts w:ascii="Arial Unicode MS" w:eastAsia="Arial Unicode MS" w:hAnsi="Arial Unicode MS" w:cs="Arial Unicode MS"/>
                <w:color w:val="000000"/>
                <w:sz w:val="20"/>
              </w:rPr>
              <w:t xml:space="preserve"> maturity period and (b) a 91 day maturity period?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141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-$25 and +$80.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36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-$50 and -$75.</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130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-$75 and +$5.</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141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+$55 and -$40.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73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0 and 0.</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76.</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 xml:space="preserve">How will a decrease of 25 basis points in all interest rates affect </w:t>
            </w:r>
            <w:proofErr w:type="spellStart"/>
            <w:r>
              <w:rPr>
                <w:rFonts w:ascii="Arial Unicode MS" w:eastAsia="Arial Unicode MS" w:hAnsi="Arial Unicode MS" w:cs="Arial Unicode MS"/>
                <w:color w:val="000000"/>
                <w:sz w:val="20"/>
              </w:rPr>
              <w:t>Gotbuck's</w:t>
            </w:r>
            <w:proofErr w:type="spellEnd"/>
            <w:r>
              <w:rPr>
                <w:rFonts w:ascii="Arial Unicode MS" w:eastAsia="Arial Unicode MS" w:hAnsi="Arial Unicode MS" w:cs="Arial Unicode MS"/>
                <w:color w:val="000000"/>
                <w:sz w:val="20"/>
              </w:rPr>
              <w:t xml:space="preserve"> net interest income over a planning period of 91 days?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158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+$0.1875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58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+$0.1250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153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-$0.1375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158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+$0.0625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11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0</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lastRenderedPageBreak/>
              <w:t>77.</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 xml:space="preserve">What does </w:t>
            </w:r>
            <w:proofErr w:type="spellStart"/>
            <w:r>
              <w:rPr>
                <w:rFonts w:ascii="Arial Unicode MS" w:eastAsia="Arial Unicode MS" w:hAnsi="Arial Unicode MS" w:cs="Arial Unicode MS"/>
                <w:color w:val="000000"/>
                <w:sz w:val="20"/>
              </w:rPr>
              <w:t>Gotbucks</w:t>
            </w:r>
            <w:proofErr w:type="spellEnd"/>
            <w:r>
              <w:rPr>
                <w:rFonts w:ascii="Arial Unicode MS" w:eastAsia="Arial Unicode MS" w:hAnsi="Arial Unicode MS" w:cs="Arial Unicode MS"/>
                <w:color w:val="000000"/>
                <w:sz w:val="20"/>
              </w:rPr>
              <w:t xml:space="preserve"> Bank's 91-day gap positions reveal about the bank management's interest rate forecasts and the bank's interest rate risk exposure?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840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bank is exposed to interest rate decreases and positioned to gain when interest rates decline.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bank is exposed to interest rate increases and positioned to gain when interest rates decline.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839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bank is exposed to interest rate increases and positioned to gain when interest rates increase.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838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bank is exposed to interest rate decreases and positioned to gain when interest rates increase.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220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Insufficient information.</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3D754A">
            <w:pPr>
              <w:keepNext/>
              <w:keepLines/>
              <w:rPr>
                <w:sz w:val="2"/>
              </w:rPr>
            </w:pP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balance sheet of ARGH Insurance shows the following fixed and rate sensitive assets and liabilities.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316E818D" wp14:editId="776CBC8F">
                  <wp:extent cx="4343400" cy="892628"/>
                  <wp:effectExtent l="0" t="0" r="0" b="0"/>
                  <wp:docPr id="4" name="https://www.eztestonline.com/tomhardej/13799276218234500712.tp4?REQUEST=SHOWmedia&amp;media=image008PRINT.png"/>
                  <wp:cNvGraphicFramePr/>
                  <a:graphic xmlns:a="http://schemas.openxmlformats.org/drawingml/2006/main">
                    <a:graphicData uri="http://schemas.openxmlformats.org/drawingml/2006/picture">
                      <pic:pic xmlns:pic="http://schemas.openxmlformats.org/drawingml/2006/picture">
                        <pic:nvPicPr>
                          <pic:cNvPr id="3" name="https://www.eztestonline.com/tomhardej/13799276218234500712.tp4?REQUEST=SHOWmedia&amp;media=image008PRINT.png"/>
                          <pic:cNvPicPr/>
                        </pic:nvPicPr>
                        <pic:blipFill>
                          <a:blip r:embed="rId9"/>
                          <a:stretch/>
                        </pic:blipFill>
                        <pic:spPr>
                          <a:xfrm>
                            <a:off x="0" y="0"/>
                            <a:ext cx="4343400" cy="892628"/>
                          </a:xfrm>
                          <a:prstGeom prst="rect">
                            <a:avLst/>
                          </a:prstGeom>
                        </pic:spPr>
                      </pic:pic>
                    </a:graphicData>
                  </a:graphic>
                </wp:inline>
              </w:drawing>
            </w:r>
            <w:r>
              <w:rPr>
                <w:rFonts w:ascii="Arial Unicode MS" w:eastAsia="Arial Unicode MS" w:hAnsi="Arial Unicode MS" w:cs="Arial Unicode MS"/>
                <w:color w:val="000000"/>
                <w:sz w:val="20"/>
              </w:rPr>
              <w:t> </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78.</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What is the repricing gap for the FI?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27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04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$5,000,000.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104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$9,800,000.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113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-$5,000,000.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113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-$8,000,000.</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lastRenderedPageBreak/>
              <w:t>79.</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What will be the FI's net interest income at year-end if interest rates do not change?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122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$3.20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22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$5.39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122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$4.04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122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$1.89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122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$1.35 million.</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80.</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Suppose short-term interest rates increase by 1 percent. Calculate the change in net interest income after the interest rate increase.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77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$50,000.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7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$18,900.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77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$40,400.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77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$53,900.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77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$32,000.</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3D754A">
            <w:pPr>
              <w:keepNext/>
              <w:keepLines/>
              <w:rPr>
                <w:sz w:val="2"/>
              </w:rPr>
            </w:pP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following information is from First Yaupon Savings Association.</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218ABEF3" wp14:editId="62CC33A3">
                  <wp:extent cx="4789714" cy="555171"/>
                  <wp:effectExtent l="0" t="0" r="0" b="0"/>
                  <wp:docPr id="5" name="https://www.eztestonline.com/tomhardej/13799276218234500712.tp4?REQUEST=SHOWmedia&amp;media=image010PRINT.png"/>
                  <wp:cNvGraphicFramePr/>
                  <a:graphic xmlns:a="http://schemas.openxmlformats.org/drawingml/2006/main">
                    <a:graphicData uri="http://schemas.openxmlformats.org/drawingml/2006/picture">
                      <pic:pic xmlns:pic="http://schemas.openxmlformats.org/drawingml/2006/picture">
                        <pic:nvPicPr>
                          <pic:cNvPr id="4" name="https://www.eztestonline.com/tomhardej/13799276218234500712.tp4?REQUEST=SHOWmedia&amp;media=image010PRINT.png"/>
                          <pic:cNvPicPr/>
                        </pic:nvPicPr>
                        <pic:blipFill>
                          <a:blip r:embed="rId10"/>
                          <a:stretch/>
                        </pic:blipFill>
                        <pic:spPr>
                          <a:xfrm>
                            <a:off x="0" y="0"/>
                            <a:ext cx="4789714" cy="555171"/>
                          </a:xfrm>
                          <a:prstGeom prst="rect">
                            <a:avLst/>
                          </a:prstGeom>
                        </pic:spPr>
                      </pic:pic>
                    </a:graphicData>
                  </a:graphic>
                </wp:inline>
              </w:drawing>
            </w:r>
            <w:r>
              <w:rPr>
                <w:rFonts w:ascii="Arial Unicode MS" w:eastAsia="Arial Unicode MS" w:hAnsi="Arial Unicode MS" w:cs="Arial Unicode MS"/>
                <w:color w:val="000000"/>
                <w:sz w:val="20"/>
              </w:rPr>
              <w:t> </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81.</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What is the repricing gap over the 1-year maturity bucket?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131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+$100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25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-$500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125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-$100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131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+$500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125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-$900 million.</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lastRenderedPageBreak/>
              <w:t>82.</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If all interest rates decrease by 15 basis points, what is the expected impact on the FI's net interest income? (Hint: Use the repricing model to answer this question.)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103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+$150,000.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97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-$150,000.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97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-$750,000.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103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+$750,000.</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103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No change.</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3D754A">
            <w:pPr>
              <w:keepNext/>
              <w:keepLines/>
              <w:rPr>
                <w:sz w:val="2"/>
              </w:rPr>
            </w:pP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following is the balance sheet of Boston Bank. The average maturity of demand deposits is estimated at 2 years.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4EE5D95E" wp14:editId="62D0CD3A">
                  <wp:extent cx="4659086" cy="881742"/>
                  <wp:effectExtent l="0" t="0" r="0" b="0"/>
                  <wp:docPr id="6" name="https://www.eztestonline.com/tomhardej/13799276218234500712.tp4?REQUEST=SHOWmedia&amp;media=image012PRINT.png"/>
                  <wp:cNvGraphicFramePr/>
                  <a:graphic xmlns:a="http://schemas.openxmlformats.org/drawingml/2006/main">
                    <a:graphicData uri="http://schemas.openxmlformats.org/drawingml/2006/picture">
                      <pic:pic xmlns:pic="http://schemas.openxmlformats.org/drawingml/2006/picture">
                        <pic:nvPicPr>
                          <pic:cNvPr id="5" name="https://www.eztestonline.com/tomhardej/13799276218234500712.tp4?REQUEST=SHOWmedia&amp;media=image012PRINT.png"/>
                          <pic:cNvPicPr/>
                        </pic:nvPicPr>
                        <pic:blipFill>
                          <a:blip r:embed="rId11"/>
                          <a:stretch/>
                        </pic:blipFill>
                        <pic:spPr>
                          <a:xfrm>
                            <a:off x="0" y="0"/>
                            <a:ext cx="4659086" cy="881742"/>
                          </a:xfrm>
                          <a:prstGeom prst="rect">
                            <a:avLst/>
                          </a:prstGeom>
                        </pic:spPr>
                      </pic:pic>
                    </a:graphicData>
                  </a:graphic>
                </wp:inline>
              </w:drawing>
            </w:r>
            <w:r>
              <w:rPr>
                <w:rFonts w:ascii="Arial Unicode MS" w:eastAsia="Arial Unicode MS" w:hAnsi="Arial Unicode MS" w:cs="Arial Unicode MS"/>
                <w:color w:val="000000"/>
                <w:sz w:val="20"/>
              </w:rPr>
              <w:t> </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83.</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 xml:space="preserve">What is the repricing gap if a 0 to </w:t>
            </w:r>
            <w:proofErr w:type="gramStart"/>
            <w:r>
              <w:rPr>
                <w:rFonts w:ascii="Arial Unicode MS" w:eastAsia="Arial Unicode MS" w:hAnsi="Arial Unicode MS" w:cs="Arial Unicode MS"/>
                <w:color w:val="000000"/>
                <w:sz w:val="20"/>
              </w:rPr>
              <w:t>3 month</w:t>
            </w:r>
            <w:proofErr w:type="gramEnd"/>
            <w:r>
              <w:rPr>
                <w:rFonts w:ascii="Arial Unicode MS" w:eastAsia="Arial Unicode MS" w:hAnsi="Arial Unicode MS" w:cs="Arial Unicode MS"/>
                <w:color w:val="000000"/>
                <w:sz w:val="20"/>
              </w:rPr>
              <w:t xml:space="preserve"> maturity gap is used? Ignore runoffs.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105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$60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05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$40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114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-$80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125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-$120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125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-$180 million.</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lastRenderedPageBreak/>
              <w:t>84.</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What is the repricing gap if a 3-year maturity gap is used? Ignore runoffs.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105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$21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05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$44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114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-$80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114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-$60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125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-$120 million.</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85.</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What is the repricing gap if a 1-year maturity gap is used if runoffs are also considered?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102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-22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20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+$22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120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+$53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114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-$40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114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-$70 million.</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86.</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What is the impact on net interest income in year two if interest rates increase by 50 basis points at the end of year one? Ignore runoffs.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147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+$0.210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47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+$0.300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141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-$0.300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141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-$0.210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147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+$0.600 million.</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3D754A">
            <w:pPr>
              <w:keepNext/>
              <w:keepLines/>
              <w:rPr>
                <w:sz w:val="2"/>
              </w:rPr>
            </w:pPr>
          </w:p>
        </w:tc>
        <w:tc>
          <w:tcPr>
            <w:tcW w:w="4800" w:type="pct"/>
          </w:tcPr>
          <w:p w:rsidR="003D754A" w:rsidRDefault="00E442FC">
            <w:pPr>
              <w:keepNext/>
              <w:keepLines/>
              <w:spacing w:after="0"/>
            </w:pPr>
            <w:proofErr w:type="spellStart"/>
            <w:r>
              <w:rPr>
                <w:rFonts w:ascii="Arial Unicode MS" w:eastAsia="Arial Unicode MS" w:hAnsi="Arial Unicode MS" w:cs="Arial Unicode MS"/>
                <w:color w:val="000000"/>
                <w:sz w:val="20"/>
              </w:rPr>
              <w:t>Hadbucks</w:t>
            </w:r>
            <w:proofErr w:type="spellEnd"/>
            <w:r>
              <w:rPr>
                <w:rFonts w:ascii="Arial Unicode MS" w:eastAsia="Arial Unicode MS" w:hAnsi="Arial Unicode MS" w:cs="Arial Unicode MS"/>
                <w:color w:val="000000"/>
                <w:sz w:val="20"/>
              </w:rPr>
              <w:t xml:space="preserve"> National Bank current balance sheet appears below. All assets and liabilities are currently priced at par and pay interest annually.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7F5E215A" wp14:editId="5932807D">
                  <wp:extent cx="4234543" cy="1055914"/>
                  <wp:effectExtent l="0" t="0" r="0" b="0"/>
                  <wp:docPr id="7" name="https://www.eztestonline.com/tomhardej/13799276218234500712.tp4?REQUEST=SHOWmedia&amp;media=image014PRINT.png"/>
                  <wp:cNvGraphicFramePr/>
                  <a:graphic xmlns:a="http://schemas.openxmlformats.org/drawingml/2006/main">
                    <a:graphicData uri="http://schemas.openxmlformats.org/drawingml/2006/picture">
                      <pic:pic xmlns:pic="http://schemas.openxmlformats.org/drawingml/2006/picture">
                        <pic:nvPicPr>
                          <pic:cNvPr id="6" name="https://www.eztestonline.com/tomhardej/13799276218234500712.tp4?REQUEST=SHOWmedia&amp;media=image014PRINT.png"/>
                          <pic:cNvPicPr/>
                        </pic:nvPicPr>
                        <pic:blipFill>
                          <a:blip r:embed="rId12"/>
                          <a:stretch/>
                        </pic:blipFill>
                        <pic:spPr>
                          <a:xfrm>
                            <a:off x="0" y="0"/>
                            <a:ext cx="4234543" cy="1055914"/>
                          </a:xfrm>
                          <a:prstGeom prst="rect">
                            <a:avLst/>
                          </a:prstGeom>
                        </pic:spPr>
                      </pic:pic>
                    </a:graphicData>
                  </a:graphic>
                </wp:inline>
              </w:drawing>
            </w:r>
            <w:r>
              <w:rPr>
                <w:rFonts w:ascii="Arial Unicode MS" w:eastAsia="Arial Unicode MS" w:hAnsi="Arial Unicode MS" w:cs="Arial Unicode MS"/>
                <w:color w:val="000000"/>
                <w:sz w:val="20"/>
              </w:rPr>
              <w:t> </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87.</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What is the weighted average maturity of assets?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99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5.50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99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6.40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99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5.00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99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4.60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99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10.0 years.</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88.</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What is the weighted average maturity of liabilities?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99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5.50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99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6.40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99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1.44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99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1.30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99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1.10 years.</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lastRenderedPageBreak/>
              <w:t>89.</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What is this FI's maturity gap?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99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4.00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99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4.28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99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3.16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99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4.06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99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5.10 years.</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90.</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What is market value of the one-year bond if all market interest rates increase by 2 percent?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144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$60.000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44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$60.566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144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$59.444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144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$58.899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144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$61.142 million.</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91.</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What is market value of the ten-year loan if all market interest rates increase by 2 percent?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144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$40.000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44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$44.916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144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$37.830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144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$42.356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144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$35.827 million.</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lastRenderedPageBreak/>
              <w:t>92.</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What is market value of the one-year CD if all market interest rates increase by 2 percent?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144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$49.065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44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$50.481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144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$49.528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144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$50.971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144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$50.000 million.</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93.</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What is market value of the two-year CD if all market interest rates increase by 2 percent?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144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$40.381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44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$39.626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144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$40.000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144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$38.573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144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$40.769 million.</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94.</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What is the impact on the FI's equity of a 2 percent overall increase in market interest rates on all fixed-rate instruments?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273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Equity rises by $4.318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05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Equity declines by $2.912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273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Equity rises by $2.060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305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Equity declines by $1.880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220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Equity does not change.</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lastRenderedPageBreak/>
              <w:t>95.</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Which of the following statements is true?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840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An increase in interest rates will benefit the FI since the increase in the market value of assets will be greater than the increase in the market value of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An increase in interest rates will harm the FI since the increase in the market value of assets will be greater than the increase in the market value of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839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An increase in interest rates will harm the FI since the decrease in the market value of assets will be greater than the decrease in the market value of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838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 decrease in interest rates will harm the FI since the increase in the market value of assets will be greater than the increase in the market value of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840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 decrease in interest rates will benefit the FI since the increase in the market value of assets will be smaller than the increase in the market value of liabilities.</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96.</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Can the FI immunize itself from interest rate risk exposure by setting the maturity gap equal to zero?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840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Yes, because with a maturity gap of zero the change in the market value of assets exactly offsets the change in the market value of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No, because with a maturity gap of zero, the change in the market value of assets exactly offsets the change in the market value of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6950"/>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No, because the maturity model does not consider the timing of cash flows.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838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Yes, because the timing of cash flows is not relevant to immunization against interest rate risk exposure.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696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No, because a representative bank will always have a positive maturity gap.</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3D754A">
            <w:pPr>
              <w:keepNext/>
              <w:keepLines/>
              <w:rPr>
                <w:sz w:val="2"/>
              </w:rPr>
            </w:pPr>
          </w:p>
        </w:tc>
        <w:tc>
          <w:tcPr>
            <w:tcW w:w="4800" w:type="pct"/>
          </w:tcPr>
          <w:p w:rsidR="003D754A" w:rsidRDefault="00E442FC">
            <w:pPr>
              <w:keepNext/>
              <w:keepLines/>
              <w:spacing w:after="0"/>
            </w:pPr>
            <w:r>
              <w:rPr>
                <w:rFonts w:ascii="Arial Unicode MS" w:eastAsia="Arial Unicode MS" w:hAnsi="Arial Unicode MS" w:cs="Arial Unicode MS"/>
                <w:color w:val="000000"/>
                <w:sz w:val="20"/>
              </w:rPr>
              <w:t>Duration Bank has the following assets and liabilities as of year-end. All assets and liabilities are currently priced at par and pay interest annually.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017832ED" wp14:editId="7B4656B5">
                  <wp:extent cx="4789714" cy="1045028"/>
                  <wp:effectExtent l="0" t="0" r="0" b="0"/>
                  <wp:docPr id="8" name="https://www.eztestonline.com/tomhardej/13799276218234500712.tp4?REQUEST=SHOWmedia&amp;media=image025PRINT.png"/>
                  <wp:cNvGraphicFramePr/>
                  <a:graphic xmlns:a="http://schemas.openxmlformats.org/drawingml/2006/main">
                    <a:graphicData uri="http://schemas.openxmlformats.org/drawingml/2006/picture">
                      <pic:pic xmlns:pic="http://schemas.openxmlformats.org/drawingml/2006/picture">
                        <pic:nvPicPr>
                          <pic:cNvPr id="7" name="https://www.eztestonline.com/tomhardej/13799276218234500712.tp4?REQUEST=SHOWmedia&amp;media=image025PRINT.png"/>
                          <pic:cNvPicPr/>
                        </pic:nvPicPr>
                        <pic:blipFill>
                          <a:blip r:embed="rId13"/>
                          <a:stretch/>
                        </pic:blipFill>
                        <pic:spPr>
                          <a:xfrm>
                            <a:off x="0" y="0"/>
                            <a:ext cx="4789714" cy="1045028"/>
                          </a:xfrm>
                          <a:prstGeom prst="rect">
                            <a:avLst/>
                          </a:prstGeom>
                        </pic:spPr>
                      </pic:pic>
                    </a:graphicData>
                  </a:graphic>
                </wp:inline>
              </w:drawing>
            </w:r>
            <w:r>
              <w:rPr>
                <w:rFonts w:ascii="Arial Unicode MS" w:eastAsia="Arial Unicode MS" w:hAnsi="Arial Unicode MS" w:cs="Arial Unicode MS"/>
                <w:color w:val="000000"/>
                <w:sz w:val="20"/>
              </w:rPr>
              <w:t> </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97.</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What is the weighted average maturity of the assets of the FI?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87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2.0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7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2.3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87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2.5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87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2.6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87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3.0 years.</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98.</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What is the weighted average maturity of the liabilities of the FI?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99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3.67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99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3.30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99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3.00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99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5.00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99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4.33 years.</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lastRenderedPageBreak/>
              <w:t>99.</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What is the FI's maturity gap?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107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-2.03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07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-2.50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107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-1.07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107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-0.70 years.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107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-0.40 years.</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86"/>
        <w:gridCol w:w="8614"/>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100.</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Is the bank exposed to interest rate increases or decreases and why?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796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Interest rate increases because the value of its assets will rise more than its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90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Interest rate increases because the value of its assets will fall more than its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791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Interest rate decreases because the value of its assets will rise less than its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796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Interest rate decreases because the value of its assets will fall more than its liabilities.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780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Interest rate increases because the value of its assets will fall less than its liabilities.</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86"/>
        <w:gridCol w:w="8614"/>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101.</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What is the change in the value of its assets if all interest rates decrease by 1 percent?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270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Approximately $1.613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70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Approximately $2.297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278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Approximately -$1.937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270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Approximately $2.209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270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Approximately $2.524 million.</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86"/>
        <w:gridCol w:w="8614"/>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lastRenderedPageBreak/>
              <w:t>102.</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What is the change in the value of its liabilities if all interest rates decrease by 1 percent?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270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Approximately $2.003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78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Approximately -$2.355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270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Approximately $2.697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270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Approximately $2.906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270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Approximately $3.211 million.</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86"/>
        <w:gridCol w:w="8614"/>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103.</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What is the effect on the value of the FI's equity if interest rates decrease by 1 percent?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205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Gain of $0.697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05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Gain of $0.338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206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Loss of $1.622 million.</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188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No change in equity.</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2062"/>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Loss of $0.605 million.</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3D754A">
        <w:tc>
          <w:tcPr>
            <w:tcW w:w="200" w:type="pct"/>
          </w:tcPr>
          <w:p w:rsidR="003D754A" w:rsidRDefault="003D754A">
            <w:pPr>
              <w:keepNext/>
              <w:keepLines/>
              <w:rPr>
                <w:sz w:val="2"/>
              </w:rPr>
            </w:pP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following question are based on material in Appendix 8B</w:t>
            </w:r>
          </w:p>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86"/>
        <w:gridCol w:w="8614"/>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104.</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term structure of interest rates assumes that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302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risk of all assets is the same.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23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time to maturity for all assets is the same.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379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coupon rate of all assets is the same.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366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market value of assets is the same.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148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All of the above.</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86"/>
        <w:gridCol w:w="8614"/>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lastRenderedPageBreak/>
              <w:t>105.</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yield curve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424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relates rates for different maturities of assets.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52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for U.S. Treasury securities is the most commonly reported yield curve.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268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may change shape over time.</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3743"/>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which is inverted does not last very long.</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148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All of the above.</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86"/>
        <w:gridCol w:w="8614"/>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106.</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unbiased expectations theory of the term structure of interest rates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776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assumes that long-term interest rates are an arithmetic average of short-term rates.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6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assumes that the yield curve reflects the market's current expectations of future short-term interest rates.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694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recognizes that forward rates are perfect predictors of future interest rates.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568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assumes that risk premiums increase uniformly with maturity.</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174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None of the above.</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86"/>
        <w:gridCol w:w="8614"/>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107.</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liquidity premium theory of the term structure of interest rates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837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assumes that investors will hold long-term maturity assets if there is a sufficient premium to compensate for the uncertainty of the long-term.</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6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assumes that long-term interest rates are an arithmetic average of short-term rates plus a liquidity premium.</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694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recognizes that forward rates are perfect predictors of future interest rates.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5686"/>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assumes that risk premiums increase uniformly with maturity.</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174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None of the above.</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86"/>
        <w:gridCol w:w="8614"/>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lastRenderedPageBreak/>
              <w:t>108.</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The market segmentation theory of the term structure of interest rates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8375"/>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assumes that investors will hold long-term maturity assets if there is a sufficient premium to compensate for the uncertainty of the long-term.</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69"/>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assumes that the yield curve reflects the market's current expectations of future short-term interest rates.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836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assumes that market rates are determined by supply and demand conditions within fairly distinct time or maturity buckets.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788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fails to recognize that forward rates are not perfect predictors of future interest rates.</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838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assumes that both investors and borrowers are willing to shift from one maturity sector to another to take advantage of opportunities arising from changing yields.</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86"/>
        <w:gridCol w:w="8614"/>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109.</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Which theory of term structure posits that long-term rates are a geometric average of current and expected short-term interest rates?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317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unbiased expectations theory.</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69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liquidity premium theory.</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246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loanable funds theory.</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305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market segmentation theory.</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174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None of the above.</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86"/>
        <w:gridCol w:w="8614"/>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lastRenderedPageBreak/>
              <w:t>110.</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Which theory of term structure states that long-term rates are equal to the geometric average of current and expected short-term rates plus a risk premium that increases with the maturity of the security?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317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unbiased expectations theory.</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69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liquidity premium theory.</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246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loanable funds theory.</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305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market segmentation theory.</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174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None of the above.</w:t>
                  </w:r>
                </w:p>
              </w:tc>
            </w:tr>
          </w:tbl>
          <w:p w:rsidR="003D754A" w:rsidRDefault="003D754A"/>
        </w:tc>
      </w:tr>
    </w:tbl>
    <w:p w:rsidR="003D754A" w:rsidRDefault="00E442FC">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86"/>
        <w:gridCol w:w="8614"/>
      </w:tblGrid>
      <w:tr w:rsidR="003D754A">
        <w:tc>
          <w:tcPr>
            <w:tcW w:w="200" w:type="pct"/>
          </w:tcPr>
          <w:p w:rsidR="003D754A" w:rsidRDefault="00E442FC">
            <w:pPr>
              <w:keepNext/>
              <w:keepLines/>
              <w:spacing w:after="0"/>
            </w:pPr>
            <w:r>
              <w:rPr>
                <w:rFonts w:ascii="Arial Unicode MS" w:eastAsia="Arial Unicode MS" w:hAnsi="Arial Unicode MS" w:cs="Arial Unicode MS"/>
                <w:color w:val="000000"/>
                <w:sz w:val="20"/>
              </w:rPr>
              <w:t>111.</w:t>
            </w:r>
          </w:p>
        </w:tc>
        <w:tc>
          <w:tcPr>
            <w:tcW w:w="4800" w:type="pct"/>
          </w:tcPr>
          <w:p w:rsidR="003D754A" w:rsidRDefault="00E442FC">
            <w:pPr>
              <w:keepNext/>
              <w:keepLines/>
              <w:spacing w:after="0"/>
            </w:pPr>
            <w:r>
              <w:rPr>
                <w:rFonts w:ascii="Arial Unicode MS" w:eastAsia="Arial Unicode MS" w:hAnsi="Arial Unicode MS" w:cs="Arial Unicode MS"/>
                <w:color w:val="000000"/>
                <w:sz w:val="20"/>
              </w:rPr>
              <w:t>Which theory of term structure argues that individual investors have specific maturity preferences?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39"/>
              <w:gridCol w:w="3174"/>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A.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unbiased expectations theory.</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697"/>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B.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liquidity premium theory.</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6"/>
              <w:gridCol w:w="246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C.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loanable funds theory.</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8"/>
              <w:gridCol w:w="3058"/>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D.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The market segmentation theory.</w:t>
                  </w:r>
                </w:p>
              </w:tc>
            </w:tr>
          </w:tbl>
          <w:p w:rsidR="003D754A" w:rsidRDefault="003D754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33"/>
              <w:gridCol w:w="1741"/>
            </w:tblGrid>
            <w:tr w:rsidR="003D754A">
              <w:tc>
                <w:tcPr>
                  <w:tcW w:w="0" w:type="auto"/>
                </w:tcPr>
                <w:p w:rsidR="003D754A" w:rsidRDefault="00E442FC">
                  <w:pPr>
                    <w:keepNext/>
                    <w:keepLines/>
                    <w:spacing w:after="0"/>
                  </w:pPr>
                  <w:r>
                    <w:rPr>
                      <w:rFonts w:ascii="Arial Unicode MS" w:eastAsia="Arial Unicode MS" w:hAnsi="Arial Unicode MS" w:cs="Arial Unicode MS"/>
                      <w:color w:val="000000"/>
                      <w:sz w:val="20"/>
                    </w:rPr>
                    <w:t>E. </w:t>
                  </w:r>
                </w:p>
              </w:tc>
              <w:tc>
                <w:tcPr>
                  <w:tcW w:w="0" w:type="auto"/>
                </w:tcPr>
                <w:p w:rsidR="003D754A" w:rsidRDefault="00E442FC">
                  <w:pPr>
                    <w:keepNext/>
                    <w:keepLines/>
                    <w:spacing w:after="0"/>
                  </w:pPr>
                  <w:r>
                    <w:rPr>
                      <w:rFonts w:ascii="Arial Unicode MS" w:eastAsia="Arial Unicode MS" w:hAnsi="Arial Unicode MS" w:cs="Arial Unicode MS"/>
                      <w:color w:val="000000"/>
                      <w:sz w:val="20"/>
                    </w:rPr>
                    <w:t>None of the above.</w:t>
                  </w:r>
                </w:p>
              </w:tc>
            </w:tr>
          </w:tbl>
          <w:p w:rsidR="003D754A" w:rsidRDefault="003D754A"/>
        </w:tc>
      </w:tr>
    </w:tbl>
    <w:p w:rsidR="00E442FC" w:rsidRDefault="00E442FC">
      <w:pPr>
        <w:keepLines/>
        <w:spacing w:after="0"/>
        <w:rPr>
          <w:rFonts w:ascii="Arial Unicode MS" w:eastAsia="Arial Unicode MS" w:hAnsi="Arial Unicode MS" w:cs="Arial Unicode MS"/>
          <w:color w:val="000000"/>
          <w:sz w:val="18"/>
        </w:rPr>
      </w:pPr>
      <w:r>
        <w:rPr>
          <w:rFonts w:ascii="Arial Unicode MS" w:eastAsia="Arial Unicode MS" w:hAnsi="Arial Unicode MS" w:cs="Arial Unicode MS"/>
          <w:color w:val="000000"/>
          <w:sz w:val="18"/>
        </w:rPr>
        <w:t> </w:t>
      </w:r>
    </w:p>
    <w:p w:rsidR="00E442FC" w:rsidRDefault="00E442FC">
      <w:pPr>
        <w:rPr>
          <w:rFonts w:ascii="Arial Unicode MS" w:eastAsia="Arial Unicode MS" w:hAnsi="Arial Unicode MS" w:cs="Arial Unicode MS"/>
          <w:color w:val="000000"/>
          <w:sz w:val="18"/>
        </w:rPr>
      </w:pPr>
      <w:r>
        <w:rPr>
          <w:rFonts w:ascii="Arial Unicode MS" w:eastAsia="Arial Unicode MS" w:hAnsi="Arial Unicode MS" w:cs="Arial Unicode MS"/>
          <w:color w:val="000000"/>
          <w:sz w:val="18"/>
        </w:rPr>
        <w:br w:type="page"/>
      </w:r>
    </w:p>
    <w:sectPr w:rsidR="00E442FC" w:rsidSect="00E442FC">
      <w:footerReference w:type="default" r:id="rId14"/>
      <w:pgSz w:w="12240" w:h="15840"/>
      <w:pgMar w:top="1440" w:right="1440" w:bottom="1440" w:left="180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2390" w:rsidRDefault="008C2390" w:rsidP="00E442FC">
      <w:pPr>
        <w:spacing w:after="0" w:line="240" w:lineRule="auto"/>
      </w:pPr>
      <w:r>
        <w:separator/>
      </w:r>
    </w:p>
  </w:endnote>
  <w:endnote w:type="continuationSeparator" w:id="0">
    <w:p w:rsidR="008C2390" w:rsidRDefault="008C2390" w:rsidP="00E44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Times,Times New Roman,Times-Rom">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42FC" w:rsidRPr="00C262A5" w:rsidRDefault="00E442FC" w:rsidP="00E442FC">
    <w:pPr>
      <w:pStyle w:val="Footer"/>
      <w:jc w:val="center"/>
      <w:rPr>
        <w:rFonts w:ascii="Times New Roman" w:hAnsi="Times New Roman" w:cs="Arial"/>
        <w:sz w:val="16"/>
        <w:szCs w:val="20"/>
        <w:highlight w:val="white"/>
      </w:rPr>
    </w:pPr>
    <w:r>
      <w:rPr>
        <w:rFonts w:ascii="Times New Roman" w:hAnsi="Times New Roman" w:cs="Arial"/>
        <w:sz w:val="16"/>
        <w:szCs w:val="20"/>
        <w:highlight w:val="white"/>
      </w:rPr>
      <w:t>8</w:t>
    </w:r>
    <w:r w:rsidRPr="00C262A5">
      <w:rPr>
        <w:rFonts w:ascii="Times New Roman" w:hAnsi="Times New Roman" w:cs="Arial"/>
        <w:sz w:val="16"/>
        <w:szCs w:val="20"/>
        <w:highlight w:val="white"/>
      </w:rPr>
      <w:t>-</w:t>
    </w:r>
    <w:r w:rsidRPr="00C262A5">
      <w:rPr>
        <w:rFonts w:ascii="Times New Roman" w:hAnsi="Times New Roman" w:cs="Arial"/>
        <w:sz w:val="16"/>
        <w:szCs w:val="20"/>
        <w:highlight w:val="white"/>
      </w:rPr>
      <w:fldChar w:fldCharType="begin"/>
    </w:r>
    <w:r w:rsidRPr="00C262A5">
      <w:rPr>
        <w:rFonts w:ascii="Times New Roman" w:hAnsi="Times New Roman" w:cs="Arial"/>
        <w:sz w:val="16"/>
        <w:szCs w:val="20"/>
        <w:highlight w:val="white"/>
      </w:rPr>
      <w:instrText xml:space="preserve"> PAGE   \* MERGEFORMAT </w:instrText>
    </w:r>
    <w:r w:rsidRPr="00C262A5">
      <w:rPr>
        <w:rFonts w:ascii="Times New Roman" w:hAnsi="Times New Roman" w:cs="Arial"/>
        <w:sz w:val="16"/>
        <w:szCs w:val="20"/>
        <w:highlight w:val="white"/>
      </w:rPr>
      <w:fldChar w:fldCharType="separate"/>
    </w:r>
    <w:r w:rsidR="005F31A6">
      <w:rPr>
        <w:rFonts w:ascii="Times New Roman" w:hAnsi="Times New Roman" w:cs="Arial"/>
        <w:noProof/>
        <w:sz w:val="16"/>
        <w:szCs w:val="20"/>
        <w:highlight w:val="white"/>
      </w:rPr>
      <w:t>1</w:t>
    </w:r>
    <w:r w:rsidRPr="00C262A5">
      <w:rPr>
        <w:rFonts w:ascii="Times New Roman" w:hAnsi="Times New Roman" w:cs="Arial"/>
        <w:noProof/>
        <w:sz w:val="16"/>
        <w:szCs w:val="20"/>
        <w:highlight w:val="white"/>
      </w:rPr>
      <w:fldChar w:fldCharType="end"/>
    </w:r>
  </w:p>
  <w:p w:rsidR="00E442FC" w:rsidRPr="00C262A5" w:rsidRDefault="00E442FC" w:rsidP="00E442FC">
    <w:pPr>
      <w:spacing w:after="0" w:line="240" w:lineRule="auto"/>
      <w:jc w:val="center"/>
      <w:rPr>
        <w:rFonts w:ascii="Times New Roman" w:eastAsia="Times New Roman" w:hAnsi="Times New Roman" w:cs="Times New Roman"/>
        <w:sz w:val="16"/>
        <w:szCs w:val="16"/>
        <w:lang w:val="en-IN"/>
      </w:rPr>
    </w:pPr>
    <w:r w:rsidRPr="00C262A5">
      <w:rPr>
        <w:rFonts w:ascii="Times New Roman" w:eastAsia="Times New Roman" w:hAnsi="Times New Roman" w:cs="Times New Roman"/>
        <w:sz w:val="16"/>
        <w:szCs w:val="16"/>
        <w:lang w:val="en-IN"/>
      </w:rPr>
      <w:t>Copyright © 201</w:t>
    </w:r>
    <w:r>
      <w:rPr>
        <w:rFonts w:ascii="Times New Roman" w:eastAsia="Times New Roman" w:hAnsi="Times New Roman" w:cs="Times New Roman"/>
        <w:sz w:val="16"/>
        <w:szCs w:val="16"/>
        <w:lang w:val="en-IN"/>
      </w:rPr>
      <w:t>4</w:t>
    </w:r>
    <w:r w:rsidRPr="00C262A5">
      <w:rPr>
        <w:rFonts w:ascii="Times New Roman" w:eastAsia="Times New Roman" w:hAnsi="Times New Roman" w:cs="Times New Roman"/>
        <w:sz w:val="16"/>
        <w:szCs w:val="16"/>
        <w:lang w:val="en-IN"/>
      </w:rPr>
      <w:t xml:space="preserve"> McGraw-Hill Education. All rights reserved. No reproduction or distribution without the prior written consent of McGraw-Hill Education.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2390" w:rsidRDefault="008C2390" w:rsidP="00E442FC">
      <w:pPr>
        <w:spacing w:after="0" w:line="240" w:lineRule="auto"/>
      </w:pPr>
      <w:r>
        <w:separator/>
      </w:r>
    </w:p>
  </w:footnote>
  <w:footnote w:type="continuationSeparator" w:id="0">
    <w:p w:rsidR="008C2390" w:rsidRDefault="008C2390" w:rsidP="00E442F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54A"/>
    <w:rsid w:val="003D754A"/>
    <w:rsid w:val="004B4C2D"/>
    <w:rsid w:val="005F31A6"/>
    <w:rsid w:val="006334D0"/>
    <w:rsid w:val="006B0879"/>
    <w:rsid w:val="008C2390"/>
    <w:rsid w:val="00E442FC"/>
    <w:rsid w:val="00EE15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9DDCCB-E910-451D-877B-111E5EB97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42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2FC"/>
    <w:rPr>
      <w:rFonts w:ascii="Tahoma" w:hAnsi="Tahoma" w:cs="Tahoma"/>
      <w:sz w:val="16"/>
      <w:szCs w:val="16"/>
    </w:rPr>
  </w:style>
  <w:style w:type="paragraph" w:styleId="Header">
    <w:name w:val="header"/>
    <w:basedOn w:val="Normal"/>
    <w:link w:val="HeaderChar"/>
    <w:uiPriority w:val="99"/>
    <w:unhideWhenUsed/>
    <w:rsid w:val="00E442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42FC"/>
  </w:style>
  <w:style w:type="paragraph" w:styleId="Footer">
    <w:name w:val="footer"/>
    <w:basedOn w:val="Normal"/>
    <w:link w:val="FooterChar"/>
    <w:uiPriority w:val="99"/>
    <w:unhideWhenUsed/>
    <w:rsid w:val="00E442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42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4809</Words>
  <Characters>27413</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dc:creator>
  <cp:lastModifiedBy>Mohamed</cp:lastModifiedBy>
  <cp:revision>2</cp:revision>
  <dcterms:created xsi:type="dcterms:W3CDTF">2024-08-18T07:42:00Z</dcterms:created>
  <dcterms:modified xsi:type="dcterms:W3CDTF">2024-08-18T07:42:00Z</dcterms:modified>
</cp:coreProperties>
</file>