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BF"/>
      </w:tblPr>
      <w:tblGrid>
        <w:gridCol w:w="666"/>
        <w:gridCol w:w="1692"/>
        <w:gridCol w:w="1350"/>
        <w:gridCol w:w="6120"/>
      </w:tblGrid>
      <w:tr w:rsidR="004A4812" w:rsidRPr="007D67EB" w:rsidTr="00894A41">
        <w:trPr>
          <w:trHeight w:val="410"/>
        </w:trPr>
        <w:tc>
          <w:tcPr>
            <w:tcW w:w="9828" w:type="dxa"/>
            <w:gridSpan w:val="4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821997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Grammar 3</w:t>
            </w: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Syllabus </w:t>
            </w:r>
          </w:p>
          <w:p w:rsidR="004A4812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(</w:t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 Spring 2011</w:t>
            </w: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)</w:t>
            </w:r>
          </w:p>
          <w:p w:rsidR="004A4812" w:rsidRPr="000D166F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4A4812" w:rsidRPr="007D67EB" w:rsidTr="00894A41">
        <w:tc>
          <w:tcPr>
            <w:tcW w:w="666" w:type="dxa"/>
            <w:shd w:val="clear" w:color="auto" w:fill="595959"/>
            <w:vAlign w:val="center"/>
          </w:tcPr>
          <w:p w:rsidR="004A4812" w:rsidRPr="00FA5A0A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1692" w:type="dxa"/>
            <w:shd w:val="clear" w:color="auto" w:fill="595959"/>
            <w:vAlign w:val="center"/>
          </w:tcPr>
          <w:p w:rsidR="004A4812" w:rsidRPr="00FA5A0A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Hej</w:t>
            </w: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ri</w:t>
            </w:r>
            <w:proofErr w:type="spellEnd"/>
          </w:p>
        </w:tc>
        <w:tc>
          <w:tcPr>
            <w:tcW w:w="1350" w:type="dxa"/>
            <w:shd w:val="clear" w:color="auto" w:fill="595959"/>
            <w:vAlign w:val="center"/>
          </w:tcPr>
          <w:p w:rsidR="004A4812" w:rsidRPr="00FA5A0A" w:rsidRDefault="004A4812" w:rsidP="00894A41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Gregorian</w:t>
            </w:r>
          </w:p>
        </w:tc>
        <w:tc>
          <w:tcPr>
            <w:tcW w:w="6120" w:type="dxa"/>
            <w:shd w:val="clear" w:color="auto" w:fill="59595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Lesson...</w:t>
            </w:r>
          </w:p>
          <w:p w:rsidR="004A4812" w:rsidRPr="00FA5A0A" w:rsidRDefault="004A4812" w:rsidP="00894A41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</w:tr>
      <w:tr w:rsidR="004A4812" w:rsidRPr="007D67EB" w:rsidTr="00894A41">
        <w:tc>
          <w:tcPr>
            <w:tcW w:w="666" w:type="dxa"/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9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Feb. 12</w:t>
            </w:r>
          </w:p>
        </w:tc>
        <w:tc>
          <w:tcPr>
            <w:tcW w:w="6120" w:type="dxa"/>
            <w:vAlign w:val="center"/>
          </w:tcPr>
          <w:p w:rsidR="004A4812" w:rsidRPr="00C32C6E" w:rsidRDefault="004A4812" w:rsidP="00894A41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Registration </w:t>
            </w:r>
          </w:p>
        </w:tc>
      </w:tr>
      <w:tr w:rsidR="004A4812" w:rsidRPr="007D67EB" w:rsidTr="00894A41">
        <w:tc>
          <w:tcPr>
            <w:tcW w:w="666" w:type="dxa"/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16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Feb. 19</w:t>
            </w:r>
          </w:p>
        </w:tc>
        <w:tc>
          <w:tcPr>
            <w:tcW w:w="6120" w:type="dxa"/>
            <w:vAlign w:val="center"/>
          </w:tcPr>
          <w:p w:rsidR="004A4812" w:rsidRDefault="004A4812" w:rsidP="004A4812">
            <w:pPr>
              <w:pStyle w:val="msonospacing0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lightGray"/>
                <w:u w:val="single"/>
              </w:rPr>
              <w:t>Chapters 1 &amp; 2: Verbs and Nouns - REVISION</w:t>
            </w:r>
          </w:p>
          <w:p w:rsidR="004A4812" w:rsidRDefault="004A4812" w:rsidP="004A4812">
            <w:pPr>
              <w:bidi w:val="0"/>
              <w:spacing w:after="0" w:line="240" w:lineRule="auto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sym w:font="Wingdings" w:char="0075"/>
            </w:r>
            <w:r>
              <w:rPr>
                <w:sz w:val="20"/>
                <w:szCs w:val="20"/>
                <w:lang w:val="en-GB"/>
              </w:rPr>
              <w:t xml:space="preserve"> Introduction to the Course</w:t>
            </w:r>
          </w:p>
          <w:p w:rsidR="004A4812" w:rsidRDefault="004A4812" w:rsidP="004A4812">
            <w:pPr>
              <w:bidi w:val="0"/>
              <w:spacing w:after="0" w:line="240" w:lineRule="auto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sym w:font="Wingdings" w:char="0075"/>
            </w:r>
            <w:r>
              <w:rPr>
                <w:sz w:val="20"/>
                <w:szCs w:val="20"/>
                <w:lang w:val="en-GB"/>
              </w:rPr>
              <w:t xml:space="preserve"> Parts of Speech, Sentences, Phrases &amp; Clauses, Subjects</w:t>
            </w:r>
          </w:p>
          <w:p w:rsidR="004A4812" w:rsidRDefault="004A4812" w:rsidP="004A4812">
            <w:pPr>
              <w:pStyle w:val="msonospacing0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(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Book: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pp. 6 – 11)</w:t>
            </w:r>
          </w:p>
          <w:p w:rsidR="004A4812" w:rsidRPr="00C32C6E" w:rsidRDefault="004A4812" w:rsidP="004A4812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0075"/>
            </w:r>
            <w:r>
              <w:rPr>
                <w:color w:val="000000"/>
                <w:sz w:val="20"/>
                <w:szCs w:val="20"/>
              </w:rPr>
              <w:t xml:space="preserve"> A Quick Overview of the Tense System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(Booklet) </w:t>
            </w:r>
            <w:r>
              <w:rPr>
                <w:color w:val="000000"/>
                <w:sz w:val="20"/>
                <w:szCs w:val="20"/>
              </w:rPr>
              <w:t>for students to review in their own time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A4812" w:rsidRPr="007D67EB" w:rsidTr="00894A41">
        <w:tc>
          <w:tcPr>
            <w:tcW w:w="666" w:type="dxa"/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23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Feb. 26</w:t>
            </w:r>
          </w:p>
        </w:tc>
        <w:tc>
          <w:tcPr>
            <w:tcW w:w="6120" w:type="dxa"/>
            <w:vAlign w:val="center"/>
          </w:tcPr>
          <w:p w:rsidR="004A4812" w:rsidRDefault="004A4812" w:rsidP="004A4812">
            <w:pPr>
              <w:pStyle w:val="NoSpacing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highlight w:val="lightGray"/>
                <w:u w:val="single"/>
              </w:rPr>
              <w:t>Chapter 3: Sentence Types &amp; Sentence Problems (pp. 118 – 149)</w:t>
            </w:r>
          </w:p>
          <w:p w:rsidR="004A4812" w:rsidRDefault="004A4812" w:rsidP="004A48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75"/>
            </w:r>
            <w:r>
              <w:rPr>
                <w:sz w:val="20"/>
                <w:szCs w:val="20"/>
              </w:rPr>
              <w:t xml:space="preserve"> Sentence Structures (</w:t>
            </w:r>
            <w:r>
              <w:rPr>
                <w:b/>
                <w:bCs/>
                <w:sz w:val="20"/>
                <w:szCs w:val="20"/>
              </w:rPr>
              <w:t>Booklet</w:t>
            </w:r>
            <w:r>
              <w:rPr>
                <w:sz w:val="20"/>
                <w:szCs w:val="20"/>
              </w:rPr>
              <w:t>)</w:t>
            </w:r>
          </w:p>
          <w:p w:rsidR="004A4812" w:rsidRPr="00E65A7E" w:rsidRDefault="004A4812" w:rsidP="004A4812">
            <w:pPr>
              <w:rPr>
                <w:sz w:val="20"/>
                <w:szCs w:val="20"/>
              </w:rPr>
            </w:pPr>
            <w:r w:rsidRPr="005160E5">
              <w:rPr>
                <w:sz w:val="20"/>
                <w:szCs w:val="20"/>
              </w:rPr>
              <w:sym w:font="Wingdings" w:char="0075"/>
            </w:r>
            <w:r w:rsidRPr="005160E5">
              <w:rPr>
                <w:sz w:val="20"/>
                <w:szCs w:val="20"/>
              </w:rPr>
              <w:t xml:space="preserve"> Exercises in class (</w:t>
            </w:r>
            <w:r w:rsidRPr="005160E5">
              <w:rPr>
                <w:b/>
                <w:bCs/>
                <w:sz w:val="20"/>
                <w:szCs w:val="20"/>
              </w:rPr>
              <w:t>Booklet and Book</w:t>
            </w:r>
            <w:r w:rsidRPr="005160E5">
              <w:rPr>
                <w:sz w:val="20"/>
                <w:szCs w:val="20"/>
              </w:rPr>
              <w:t>)</w:t>
            </w:r>
          </w:p>
        </w:tc>
      </w:tr>
      <w:tr w:rsidR="004A4812" w:rsidRPr="007D67EB" w:rsidTr="00894A41">
        <w:tc>
          <w:tcPr>
            <w:tcW w:w="666" w:type="dxa"/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30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March 5</w:t>
            </w:r>
          </w:p>
        </w:tc>
        <w:tc>
          <w:tcPr>
            <w:tcW w:w="6120" w:type="dxa"/>
            <w:vAlign w:val="center"/>
          </w:tcPr>
          <w:p w:rsidR="004A4812" w:rsidRDefault="004A4812" w:rsidP="004A4812">
            <w:pPr>
              <w:pStyle w:val="NoSpacing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highlight w:val="lightGray"/>
                <w:u w:val="single"/>
              </w:rPr>
              <w:t>Chapter 7: Noun Clauses &amp; Related Structures (pp. 296 – 327)</w:t>
            </w:r>
          </w:p>
          <w:p w:rsidR="004A4812" w:rsidRDefault="004A4812" w:rsidP="004A48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75"/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pp. 296 – 300) &amp; (</w:t>
            </w:r>
            <w:r>
              <w:rPr>
                <w:b/>
                <w:bCs/>
                <w:sz w:val="20"/>
                <w:szCs w:val="20"/>
              </w:rPr>
              <w:t>Booklet</w:t>
            </w:r>
            <w:r>
              <w:rPr>
                <w:sz w:val="20"/>
                <w:szCs w:val="20"/>
              </w:rPr>
              <w:t>)</w:t>
            </w:r>
          </w:p>
          <w:p w:rsidR="004A4812" w:rsidRPr="004A4812" w:rsidRDefault="004A4812" w:rsidP="004A4812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sym w:font="Wingdings" w:char="0075"/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pp. 301 – 316) &amp; (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Note:</w:t>
            </w:r>
            <w:r>
              <w:rPr>
                <w:sz w:val="20"/>
                <w:szCs w:val="20"/>
              </w:rPr>
              <w:t xml:space="preserve"> Booklet if not finished)</w:t>
            </w:r>
          </w:p>
        </w:tc>
      </w:tr>
      <w:tr w:rsidR="004A4812" w:rsidRPr="007D67EB" w:rsidTr="00894A41">
        <w:tc>
          <w:tcPr>
            <w:tcW w:w="666" w:type="dxa"/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7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March 12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4A4812" w:rsidRDefault="004A4812" w:rsidP="004A48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75"/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pp. 317 - 327) &amp; (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Note:</w:t>
            </w:r>
            <w:r>
              <w:rPr>
                <w:sz w:val="20"/>
                <w:szCs w:val="20"/>
              </w:rPr>
              <w:t xml:space="preserve"> Booklet if not finished)</w:t>
            </w:r>
          </w:p>
          <w:p w:rsidR="004A4812" w:rsidRPr="004A4812" w:rsidRDefault="004A4812" w:rsidP="004A4812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sym w:font="Wingdings" w:char="0075"/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Revision of Ch. 7) &amp; (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Note:</w:t>
            </w:r>
            <w:r>
              <w:rPr>
                <w:sz w:val="20"/>
                <w:szCs w:val="20"/>
              </w:rPr>
              <w:t xml:space="preserve"> Booklet if not finished)</w:t>
            </w:r>
          </w:p>
        </w:tc>
      </w:tr>
      <w:tr w:rsidR="004A4812" w:rsidRPr="007D67EB" w:rsidTr="00894A41">
        <w:tc>
          <w:tcPr>
            <w:tcW w:w="666" w:type="dxa"/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14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March 19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4A4812" w:rsidRDefault="004A4812" w:rsidP="004A481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  <w:highlight w:val="lightGray"/>
                <w:u w:val="single"/>
              </w:rPr>
              <w:t>Chapter 4: Adjective Clauses &amp; Related Structures (pp. 156 - 193)</w:t>
            </w:r>
          </w:p>
          <w:p w:rsidR="004A4812" w:rsidRDefault="004A4812" w:rsidP="004A481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75"/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pp. 156 - 166)</w:t>
            </w:r>
          </w:p>
          <w:p w:rsidR="004A4812" w:rsidRPr="00C32C6E" w:rsidRDefault="004A4812" w:rsidP="004A4812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75"/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pp. 167 - 178) &amp; (</w:t>
            </w:r>
            <w:r>
              <w:rPr>
                <w:b/>
                <w:bCs/>
                <w:sz w:val="20"/>
                <w:szCs w:val="20"/>
              </w:rPr>
              <w:t>Booklet</w:t>
            </w:r>
            <w:r>
              <w:rPr>
                <w:sz w:val="20"/>
                <w:szCs w:val="20"/>
              </w:rPr>
              <w:t>)</w:t>
            </w:r>
          </w:p>
        </w:tc>
      </w:tr>
      <w:tr w:rsidR="004A4812" w:rsidRPr="007D67EB" w:rsidTr="00894A41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21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March 26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4A4812" w:rsidRPr="004A4812" w:rsidRDefault="004A4812" w:rsidP="004A4812">
            <w:pPr>
              <w:pStyle w:val="NoSpacing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pp. 179 - 185) &amp; (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Note:</w:t>
            </w:r>
            <w:r>
              <w:rPr>
                <w:sz w:val="20"/>
                <w:szCs w:val="20"/>
              </w:rPr>
              <w:t xml:space="preserve"> Booklet if not finished)</w:t>
            </w:r>
          </w:p>
          <w:p w:rsidR="004A4812" w:rsidRPr="00C32C6E" w:rsidRDefault="004A4812" w:rsidP="00894A41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4A48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In-term </w:t>
            </w:r>
          </w:p>
        </w:tc>
      </w:tr>
      <w:tr w:rsidR="004A4812" w:rsidRPr="007D67EB" w:rsidTr="00894A41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Rabi'II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28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April 2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4A4812" w:rsidRPr="004A4812" w:rsidRDefault="004A4812" w:rsidP="004A4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75"/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pp. 186 - 193) &amp; (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Note:</w:t>
            </w:r>
            <w:r>
              <w:rPr>
                <w:sz w:val="20"/>
                <w:szCs w:val="20"/>
              </w:rPr>
              <w:t xml:space="preserve"> Booklet if not finished)</w:t>
            </w:r>
          </w:p>
        </w:tc>
      </w:tr>
      <w:tr w:rsidR="004A4812" w:rsidRPr="007D67EB" w:rsidTr="00894A41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42" w:type="dxa"/>
            <w:gridSpan w:val="2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7F5AC1" w:rsidRDefault="004A4812" w:rsidP="00894A41">
            <w:pPr>
              <w:pStyle w:val="NoSpacing"/>
              <w:jc w:val="center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  <w:p w:rsidR="004A4812" w:rsidRPr="007F5AC1" w:rsidRDefault="004A4812" w:rsidP="00894A41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  <w:t>Mid-Semester Break</w:t>
            </w:r>
          </w:p>
          <w:p w:rsidR="004A4812" w:rsidRPr="007F5AC1" w:rsidRDefault="004A4812" w:rsidP="00894A41">
            <w:pPr>
              <w:pStyle w:val="NoSpacing"/>
              <w:jc w:val="center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6120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7F5AC1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5AC1">
              <w:rPr>
                <w:b/>
                <w:bCs/>
                <w:iCs/>
                <w:color w:val="FFFFFF"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iCs/>
                <w:color w:val="FFFFFF"/>
                <w:sz w:val="20"/>
                <w:szCs w:val="20"/>
              </w:rPr>
              <w:t>Jumada'I</w:t>
            </w:r>
            <w:proofErr w:type="spellEnd"/>
            <w:r>
              <w:rPr>
                <w:b/>
                <w:bCs/>
                <w:iCs/>
                <w:color w:val="FFFFFF"/>
                <w:sz w:val="20"/>
                <w:szCs w:val="20"/>
              </w:rPr>
              <w:t xml:space="preserve"> 3- </w:t>
            </w:r>
            <w:proofErr w:type="spellStart"/>
            <w:r>
              <w:rPr>
                <w:b/>
                <w:bCs/>
                <w:iCs/>
                <w:color w:val="FFFFFF"/>
                <w:sz w:val="20"/>
                <w:szCs w:val="20"/>
              </w:rPr>
              <w:t>Jumada'I</w:t>
            </w:r>
            <w:proofErr w:type="spellEnd"/>
            <w:r>
              <w:rPr>
                <w:b/>
                <w:bCs/>
                <w:iCs/>
                <w:color w:val="FFFFFF"/>
                <w:sz w:val="20"/>
                <w:szCs w:val="20"/>
              </w:rPr>
              <w:t xml:space="preserve"> 11) (May 7- May 15)</w:t>
            </w:r>
          </w:p>
        </w:tc>
      </w:tr>
      <w:tr w:rsidR="004A4812" w:rsidRPr="007D67EB" w:rsidTr="00894A41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Jumada'I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12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April. 16 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475937" w:rsidRDefault="00475937" w:rsidP="00475937">
            <w:pPr>
              <w:pStyle w:val="NoSpacing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highlight w:val="lightGray"/>
                <w:u w:val="single"/>
              </w:rPr>
              <w:t>Chapter 5: Adv. Clauses of Cause, Result, &amp; Time (pp. 202 - 228)</w:t>
            </w:r>
          </w:p>
          <w:p w:rsidR="00475937" w:rsidRDefault="00475937" w:rsidP="004759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75"/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pp. 202 - 211) &amp; (</w:t>
            </w:r>
            <w:r>
              <w:rPr>
                <w:b/>
                <w:bCs/>
                <w:sz w:val="20"/>
                <w:szCs w:val="20"/>
              </w:rPr>
              <w:t>Booklet</w:t>
            </w:r>
            <w:r>
              <w:rPr>
                <w:sz w:val="20"/>
                <w:szCs w:val="20"/>
              </w:rPr>
              <w:t>)</w:t>
            </w:r>
          </w:p>
          <w:p w:rsidR="004A4812" w:rsidRPr="00C32C6E" w:rsidRDefault="00475937" w:rsidP="00475937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75"/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pp. 212 - 228) &amp; (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Note:</w:t>
            </w:r>
            <w:r>
              <w:rPr>
                <w:sz w:val="20"/>
                <w:szCs w:val="20"/>
              </w:rPr>
              <w:t xml:space="preserve"> Booklet if not finished)</w:t>
            </w:r>
          </w:p>
        </w:tc>
      </w:tr>
      <w:tr w:rsidR="004A4812" w:rsidRPr="007D67EB" w:rsidTr="00894A41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Jumada'I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19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April 23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4A4812" w:rsidRPr="00400CC1" w:rsidRDefault="00475937" w:rsidP="00400CC1">
            <w:pPr>
              <w:rPr>
                <w:sz w:val="20"/>
                <w:szCs w:val="20"/>
              </w:rPr>
            </w:pPr>
            <w:r w:rsidRPr="005160E5">
              <w:rPr>
                <w:sz w:val="20"/>
                <w:szCs w:val="20"/>
              </w:rPr>
              <w:sym w:font="Wingdings" w:char="0075"/>
            </w:r>
            <w:r w:rsidRPr="005160E5">
              <w:rPr>
                <w:sz w:val="20"/>
                <w:szCs w:val="20"/>
              </w:rPr>
              <w:t>continue chapter 5</w:t>
            </w:r>
          </w:p>
        </w:tc>
      </w:tr>
      <w:tr w:rsidR="004A4812" w:rsidRPr="007D67EB" w:rsidTr="00894A41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Jumada'I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26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April 30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400CC1" w:rsidRPr="005160E5" w:rsidRDefault="00400CC1" w:rsidP="00400CC1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160E5">
              <w:rPr>
                <w:b/>
                <w:bCs/>
                <w:sz w:val="20"/>
                <w:szCs w:val="20"/>
                <w:highlight w:val="lightGray"/>
                <w:u w:val="single"/>
              </w:rPr>
              <w:t>Chapter 6: Adv. Clauses of Comparison, Contrast, Purpose, and Result (pp. 253 - 268)</w:t>
            </w:r>
          </w:p>
          <w:p w:rsidR="00400CC1" w:rsidRPr="005160E5" w:rsidRDefault="00400CC1" w:rsidP="00400CC1">
            <w:pPr>
              <w:pStyle w:val="NoSpacing"/>
              <w:rPr>
                <w:sz w:val="20"/>
                <w:szCs w:val="20"/>
              </w:rPr>
            </w:pPr>
            <w:r w:rsidRPr="005160E5">
              <w:rPr>
                <w:sz w:val="20"/>
                <w:szCs w:val="20"/>
              </w:rPr>
              <w:sym w:font="Wingdings" w:char="0075"/>
            </w:r>
            <w:r w:rsidRPr="005160E5">
              <w:rPr>
                <w:sz w:val="20"/>
                <w:szCs w:val="20"/>
              </w:rPr>
              <w:t xml:space="preserve"> (</w:t>
            </w:r>
            <w:r w:rsidRPr="005160E5">
              <w:rPr>
                <w:b/>
                <w:bCs/>
                <w:sz w:val="20"/>
                <w:szCs w:val="20"/>
              </w:rPr>
              <w:t>Book:</w:t>
            </w:r>
            <w:r w:rsidRPr="005160E5">
              <w:rPr>
                <w:sz w:val="20"/>
                <w:szCs w:val="20"/>
              </w:rPr>
              <w:t xml:space="preserve"> pp. 253 - 268) &amp; (</w:t>
            </w:r>
            <w:r w:rsidRPr="005160E5">
              <w:rPr>
                <w:b/>
                <w:bCs/>
                <w:i/>
                <w:iCs/>
                <w:sz w:val="20"/>
                <w:szCs w:val="20"/>
                <w:u w:val="single"/>
              </w:rPr>
              <w:t>Note:</w:t>
            </w:r>
            <w:r w:rsidRPr="005160E5">
              <w:rPr>
                <w:sz w:val="20"/>
                <w:szCs w:val="20"/>
              </w:rPr>
              <w:t xml:space="preserve"> Booklet if not finished)</w:t>
            </w:r>
          </w:p>
          <w:p w:rsidR="004A4812" w:rsidRPr="00400CC1" w:rsidRDefault="00400CC1" w:rsidP="00400CC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rtl/>
              </w:rPr>
            </w:pPr>
            <w:r w:rsidRPr="005160E5">
              <w:rPr>
                <w:sz w:val="20"/>
                <w:szCs w:val="20"/>
              </w:rPr>
              <w:sym w:font="Wingdings" w:char="0075"/>
            </w:r>
            <w:r w:rsidRPr="005160E5">
              <w:rPr>
                <w:sz w:val="20"/>
                <w:szCs w:val="20"/>
              </w:rPr>
              <w:t xml:space="preserve"> (</w:t>
            </w:r>
            <w:r w:rsidRPr="005160E5">
              <w:rPr>
                <w:b/>
                <w:bCs/>
                <w:sz w:val="20"/>
                <w:szCs w:val="20"/>
              </w:rPr>
              <w:t>Book:</w:t>
            </w:r>
            <w:r w:rsidRPr="005160E5">
              <w:rPr>
                <w:sz w:val="20"/>
                <w:szCs w:val="20"/>
              </w:rPr>
              <w:t xml:space="preserve"> pp. 269 - 276) &amp; (</w:t>
            </w:r>
            <w:r w:rsidRPr="005160E5">
              <w:rPr>
                <w:b/>
                <w:bCs/>
                <w:i/>
                <w:iCs/>
                <w:sz w:val="20"/>
                <w:szCs w:val="20"/>
                <w:u w:val="single"/>
              </w:rPr>
              <w:t>Note:</w:t>
            </w:r>
            <w:r w:rsidRPr="005160E5">
              <w:rPr>
                <w:sz w:val="20"/>
                <w:szCs w:val="20"/>
              </w:rPr>
              <w:t xml:space="preserve"> Booklet if not finished)</w:t>
            </w:r>
          </w:p>
        </w:tc>
      </w:tr>
      <w:tr w:rsidR="004A4812" w:rsidRPr="007D67EB" w:rsidTr="00894A41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Jumada'II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4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May 7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4A4812" w:rsidRPr="00400CC1" w:rsidRDefault="00400CC1" w:rsidP="00400CC1">
            <w:pPr>
              <w:spacing w:after="0" w:line="240" w:lineRule="auto"/>
              <w:rPr>
                <w:sz w:val="20"/>
                <w:szCs w:val="20"/>
              </w:rPr>
            </w:pPr>
            <w:r w:rsidRPr="005160E5">
              <w:rPr>
                <w:sz w:val="20"/>
                <w:szCs w:val="20"/>
              </w:rPr>
              <w:sym w:font="Wingdings" w:char="0075"/>
            </w:r>
            <w:r w:rsidRPr="005160E5">
              <w:rPr>
                <w:sz w:val="20"/>
                <w:szCs w:val="20"/>
              </w:rPr>
              <w:t xml:space="preserve"> (</w:t>
            </w:r>
            <w:r w:rsidRPr="005160E5">
              <w:rPr>
                <w:b/>
                <w:bCs/>
                <w:sz w:val="20"/>
                <w:szCs w:val="20"/>
              </w:rPr>
              <w:t>Book:</w:t>
            </w:r>
            <w:r w:rsidRPr="005160E5">
              <w:rPr>
                <w:sz w:val="20"/>
                <w:szCs w:val="20"/>
              </w:rPr>
              <w:t xml:space="preserve"> pp. 277 - 283) &amp; (</w:t>
            </w:r>
            <w:r w:rsidRPr="005160E5">
              <w:rPr>
                <w:b/>
                <w:bCs/>
                <w:i/>
                <w:iCs/>
                <w:sz w:val="20"/>
                <w:szCs w:val="20"/>
                <w:u w:val="single"/>
              </w:rPr>
              <w:t>Note:</w:t>
            </w:r>
            <w:r w:rsidRPr="005160E5">
              <w:rPr>
                <w:sz w:val="20"/>
                <w:szCs w:val="20"/>
              </w:rPr>
              <w:t xml:space="preserve"> Booklet if not finished)</w:t>
            </w:r>
          </w:p>
        </w:tc>
      </w:tr>
      <w:tr w:rsidR="004A4812" w:rsidRPr="007D67EB" w:rsidTr="00894A41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Jumada'II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11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May 14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400CC1" w:rsidRDefault="00400CC1" w:rsidP="00400CC1">
            <w:pPr>
              <w:pStyle w:val="TableContents"/>
              <w:rPr>
                <w:b/>
                <w:bCs/>
                <w:sz w:val="20"/>
                <w:szCs w:val="20"/>
                <w:u w:val="single"/>
              </w:rPr>
            </w:pPr>
            <w:r w:rsidRPr="005160E5">
              <w:rPr>
                <w:sz w:val="20"/>
                <w:szCs w:val="20"/>
              </w:rPr>
              <w:sym w:font="Wingdings" w:char="0075"/>
            </w:r>
            <w:r w:rsidRPr="000F256A">
              <w:rPr>
                <w:sz w:val="20"/>
                <w:szCs w:val="20"/>
              </w:rPr>
              <w:t>Continue chapter 6</w:t>
            </w:r>
          </w:p>
          <w:p w:rsidR="004A4812" w:rsidRPr="00400CC1" w:rsidRDefault="00400CC1" w:rsidP="00400CC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E65A7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In-term</w:t>
            </w:r>
          </w:p>
        </w:tc>
      </w:tr>
      <w:tr w:rsidR="004A4812" w:rsidRPr="007D67EB" w:rsidTr="00894A41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Jumada'II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18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May 21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400CC1" w:rsidRPr="005160E5" w:rsidRDefault="00400CC1" w:rsidP="00400CC1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160E5">
              <w:rPr>
                <w:b/>
                <w:bCs/>
                <w:sz w:val="20"/>
                <w:szCs w:val="20"/>
                <w:highlight w:val="lightGray"/>
                <w:u w:val="single"/>
              </w:rPr>
              <w:t>Chapter 8: The Passive Voice &amp; Related Structures (pp. 336 – 371)</w:t>
            </w:r>
          </w:p>
          <w:p w:rsidR="00400CC1" w:rsidRPr="005160E5" w:rsidRDefault="00400CC1" w:rsidP="00400CC1">
            <w:pPr>
              <w:pStyle w:val="NoSpacing"/>
              <w:rPr>
                <w:sz w:val="20"/>
                <w:szCs w:val="20"/>
              </w:rPr>
            </w:pPr>
            <w:r w:rsidRPr="005160E5">
              <w:rPr>
                <w:sz w:val="20"/>
                <w:szCs w:val="20"/>
              </w:rPr>
              <w:sym w:font="Wingdings" w:char="0075"/>
            </w:r>
            <w:r w:rsidRPr="005160E5">
              <w:rPr>
                <w:sz w:val="20"/>
                <w:szCs w:val="20"/>
              </w:rPr>
              <w:t xml:space="preserve"> The Passive Voice with Simple Tenses </w:t>
            </w:r>
          </w:p>
          <w:p w:rsidR="00400CC1" w:rsidRPr="005160E5" w:rsidRDefault="00400CC1" w:rsidP="00400CC1">
            <w:pPr>
              <w:pStyle w:val="NoSpacing"/>
              <w:rPr>
                <w:sz w:val="20"/>
                <w:szCs w:val="20"/>
              </w:rPr>
            </w:pPr>
            <w:r w:rsidRPr="005160E5">
              <w:rPr>
                <w:sz w:val="20"/>
                <w:szCs w:val="20"/>
              </w:rPr>
              <w:sym w:font="Wingdings" w:char="0075"/>
            </w:r>
            <w:r w:rsidRPr="005160E5">
              <w:rPr>
                <w:sz w:val="20"/>
                <w:szCs w:val="20"/>
              </w:rPr>
              <w:t xml:space="preserve"> The Passive Voice with Perfect Tenses</w:t>
            </w:r>
          </w:p>
          <w:p w:rsidR="00400CC1" w:rsidRPr="005160E5" w:rsidRDefault="00400CC1" w:rsidP="00400CC1">
            <w:pPr>
              <w:pStyle w:val="NoSpacing"/>
              <w:rPr>
                <w:sz w:val="20"/>
                <w:szCs w:val="20"/>
              </w:rPr>
            </w:pPr>
            <w:r w:rsidRPr="005160E5">
              <w:rPr>
                <w:sz w:val="20"/>
                <w:szCs w:val="20"/>
              </w:rPr>
              <w:sym w:font="Wingdings" w:char="0075"/>
            </w:r>
            <w:r w:rsidRPr="005160E5">
              <w:rPr>
                <w:sz w:val="20"/>
                <w:szCs w:val="20"/>
              </w:rPr>
              <w:t xml:space="preserve"> The Passive Voice with Continuous Tenses</w:t>
            </w:r>
          </w:p>
          <w:p w:rsidR="004A4812" w:rsidRPr="00400CC1" w:rsidRDefault="00400CC1" w:rsidP="00400CC1">
            <w:pPr>
              <w:spacing w:after="0"/>
              <w:rPr>
                <w:sz w:val="20"/>
                <w:szCs w:val="20"/>
              </w:rPr>
            </w:pPr>
            <w:r w:rsidRPr="005160E5">
              <w:rPr>
                <w:sz w:val="20"/>
                <w:szCs w:val="20"/>
              </w:rPr>
              <w:sym w:font="Wingdings" w:char="0075"/>
            </w:r>
            <w:r w:rsidRPr="005160E5">
              <w:rPr>
                <w:sz w:val="20"/>
                <w:szCs w:val="20"/>
              </w:rPr>
              <w:t xml:space="preserve"> The Passive Voice with Modal Auxiliaries</w:t>
            </w:r>
          </w:p>
        </w:tc>
      </w:tr>
      <w:tr w:rsidR="004A4812" w:rsidRPr="007D67EB" w:rsidTr="00894A41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lastRenderedPageBreak/>
              <w:t>15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7F7F7F" w:themeFill="text1" w:themeFillTint="80"/>
            <w:vAlign w:val="center"/>
          </w:tcPr>
          <w:p w:rsidR="004A4812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Pr="0054430D" w:rsidRDefault="004A4812" w:rsidP="00894A41">
            <w:pPr>
              <w:pStyle w:val="NoSpacing"/>
              <w:jc w:val="center"/>
              <w:rPr>
                <w:rFonts w:cstheme="minorBidi"/>
                <w:b/>
                <w:bCs/>
                <w:i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Jumada'II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25   </w:t>
            </w:r>
          </w:p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7F7F7F" w:themeFill="text1" w:themeFillTint="80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May 28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4A4812" w:rsidRPr="00C32C6E" w:rsidRDefault="004A4812" w:rsidP="00894A41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sym w:font="Wingdings" w:char="F040"/>
            </w: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Oral Exams</w:t>
            </w:r>
          </w:p>
        </w:tc>
      </w:tr>
      <w:tr w:rsidR="004A4812" w:rsidRPr="007D67EB" w:rsidTr="00894A41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808080"/>
            <w:vAlign w:val="center"/>
          </w:tcPr>
          <w:p w:rsidR="004A4812" w:rsidRPr="00A95D54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iCs/>
                <w:sz w:val="18"/>
                <w:szCs w:val="18"/>
              </w:rPr>
              <w:t>Rajab 2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808080"/>
            <w:vAlign w:val="center"/>
          </w:tcPr>
          <w:p w:rsidR="004A4812" w:rsidRPr="00F6685E" w:rsidRDefault="004A4812" w:rsidP="00894A41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F6685E">
              <w:rPr>
                <w:b/>
                <w:bCs/>
                <w:sz w:val="18"/>
                <w:szCs w:val="18"/>
                <w:lang w:eastAsia="en-GB"/>
              </w:rPr>
              <w:t>Sat., J</w:t>
            </w:r>
            <w:r>
              <w:rPr>
                <w:b/>
                <w:bCs/>
                <w:sz w:val="18"/>
                <w:szCs w:val="18"/>
                <w:lang w:eastAsia="en-GB"/>
              </w:rPr>
              <w:t>une 4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A4812" w:rsidRPr="00C32C6E" w:rsidRDefault="004A4812" w:rsidP="00894A41">
            <w:pPr>
              <w:pStyle w:val="NoSpacing"/>
              <w:shd w:val="clear" w:color="auto" w:fill="FFFFFF"/>
              <w:bidi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sym w:font="Wingdings" w:char="F040"/>
            </w: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... </w:t>
            </w:r>
            <w:r w:rsidRPr="00C32C6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General Exams</w:t>
            </w:r>
          </w:p>
        </w:tc>
      </w:tr>
      <w:tr w:rsidR="004A4812" w:rsidRPr="007D67EB" w:rsidTr="00894A41">
        <w:trPr>
          <w:trHeight w:val="337"/>
        </w:trPr>
        <w:tc>
          <w:tcPr>
            <w:tcW w:w="9828" w:type="dxa"/>
            <w:gridSpan w:val="4"/>
            <w:shd w:val="clear" w:color="auto" w:fill="595959"/>
            <w:vAlign w:val="center"/>
          </w:tcPr>
          <w:p w:rsidR="004A4812" w:rsidRPr="00FA5A0A" w:rsidRDefault="004A4812" w:rsidP="00894A41">
            <w:pPr>
              <w:pStyle w:val="NoSpacing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st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25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pts.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  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2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nd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25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pts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.                 Class work: 10 pts.        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Final Exam: </w:t>
            </w:r>
            <w:r>
              <w:rPr>
                <w:b/>
                <w:bCs/>
                <w:color w:val="FFFFFF"/>
                <w:sz w:val="20"/>
                <w:szCs w:val="20"/>
              </w:rPr>
              <w:t>4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0 pts.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</w:t>
            </w:r>
          </w:p>
        </w:tc>
      </w:tr>
    </w:tbl>
    <w:p w:rsidR="004A4812" w:rsidRPr="00642057" w:rsidRDefault="004A4812" w:rsidP="004A4812">
      <w:pPr>
        <w:rPr>
          <w:rFonts w:cs="Times New Roman"/>
          <w:b/>
          <w:bCs/>
          <w:color w:val="993300"/>
          <w:sz w:val="28"/>
          <w:szCs w:val="28"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>Very Important Note:</w:t>
      </w:r>
    </w:p>
    <w:p w:rsidR="004A4812" w:rsidRPr="00642057" w:rsidRDefault="004A4812" w:rsidP="004A4812">
      <w:pPr>
        <w:rPr>
          <w:rFonts w:cs="Times New Roman"/>
          <w:b/>
          <w:bCs/>
          <w:color w:val="000000"/>
        </w:rPr>
      </w:pPr>
      <w:r w:rsidRPr="00642057">
        <w:rPr>
          <w:rFonts w:cs="Times New Roman"/>
          <w:b/>
          <w:bCs/>
          <w:color w:val="000000"/>
        </w:rPr>
        <w:t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</w:t>
      </w:r>
    </w:p>
    <w:p w:rsidR="004A4812" w:rsidRPr="00642057" w:rsidRDefault="004A4812" w:rsidP="004A4812">
      <w:pPr>
        <w:rPr>
          <w:rFonts w:cs="Times New Roman"/>
          <w:color w:val="993366"/>
        </w:rPr>
      </w:pPr>
    </w:p>
    <w:p w:rsidR="004A4812" w:rsidRPr="00642057" w:rsidRDefault="004A4812" w:rsidP="004A4812">
      <w:pPr>
        <w:rPr>
          <w:rFonts w:cs="Times New Roman"/>
          <w:b/>
          <w:bCs/>
          <w:color w:val="993300"/>
          <w:sz w:val="28"/>
          <w:szCs w:val="28"/>
          <w:u w:val="single"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 xml:space="preserve">Required material: </w:t>
      </w:r>
    </w:p>
    <w:p w:rsidR="00400CC1" w:rsidRPr="00400CC1" w:rsidRDefault="004A4812" w:rsidP="00400CC1">
      <w:pPr>
        <w:numPr>
          <w:ilvl w:val="0"/>
          <w:numId w:val="1"/>
        </w:numPr>
        <w:bidi w:val="0"/>
        <w:spacing w:after="0" w:line="240" w:lineRule="auto"/>
        <w:ind w:left="1440"/>
        <w:jc w:val="left"/>
        <w:rPr>
          <w:rFonts w:asciiTheme="minorHAnsi" w:hAnsiTheme="minorHAnsi" w:cstheme="majorBidi"/>
          <w:b/>
          <w:bCs/>
        </w:rPr>
      </w:pPr>
      <w:r w:rsidRPr="00400CC1">
        <w:rPr>
          <w:rFonts w:asciiTheme="minorHAnsi" w:hAnsiTheme="minorHAnsi" w:cs="Times New Roman"/>
          <w:b/>
          <w:bCs/>
        </w:rPr>
        <w:t xml:space="preserve"> </w:t>
      </w:r>
      <w:r w:rsidR="00400CC1" w:rsidRPr="00400CC1">
        <w:rPr>
          <w:rFonts w:asciiTheme="minorHAnsi" w:hAnsiTheme="minorHAnsi" w:cstheme="majorBidi"/>
          <w:b/>
          <w:bCs/>
        </w:rPr>
        <w:t>Mosaic 2 Grammar-Silver edition</w:t>
      </w:r>
    </w:p>
    <w:p w:rsidR="004A4812" w:rsidRDefault="00400CC1" w:rsidP="00400CC1">
      <w:pPr>
        <w:numPr>
          <w:ilvl w:val="0"/>
          <w:numId w:val="1"/>
        </w:numPr>
        <w:bidi w:val="0"/>
        <w:spacing w:after="0" w:line="240" w:lineRule="auto"/>
        <w:ind w:left="1440"/>
        <w:jc w:val="left"/>
        <w:rPr>
          <w:rFonts w:asciiTheme="minorHAnsi" w:hAnsiTheme="minorHAnsi" w:cstheme="majorBidi"/>
          <w:b/>
          <w:bCs/>
        </w:rPr>
      </w:pPr>
      <w:r w:rsidRPr="00400CC1">
        <w:rPr>
          <w:rFonts w:asciiTheme="minorHAnsi" w:hAnsiTheme="minorHAnsi" w:cstheme="majorBidi"/>
          <w:b/>
          <w:bCs/>
        </w:rPr>
        <w:t>Supplementary booklet</w:t>
      </w:r>
    </w:p>
    <w:p w:rsidR="00894A41" w:rsidRPr="00400CC1" w:rsidRDefault="00894A41" w:rsidP="00894A41">
      <w:pPr>
        <w:bidi w:val="0"/>
        <w:spacing w:after="0" w:line="240" w:lineRule="auto"/>
        <w:ind w:left="1440"/>
        <w:jc w:val="left"/>
        <w:rPr>
          <w:rFonts w:asciiTheme="minorHAnsi" w:hAnsiTheme="minorHAnsi" w:cstheme="majorBidi"/>
          <w:b/>
          <w:bCs/>
        </w:rPr>
      </w:pPr>
    </w:p>
    <w:p w:rsidR="004A4812" w:rsidRPr="002750E1" w:rsidRDefault="004A4812" w:rsidP="004A4812">
      <w:pPr>
        <w:spacing w:line="360" w:lineRule="auto"/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</w:pPr>
      <w:r w:rsidRPr="002750E1"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  <w:t xml:space="preserve">Email: </w:t>
      </w:r>
    </w:p>
    <w:p w:rsidR="004A4812" w:rsidRPr="00642057" w:rsidRDefault="00361515" w:rsidP="004A4812">
      <w:pPr>
        <w:spacing w:line="360" w:lineRule="auto"/>
        <w:rPr>
          <w:rFonts w:cs="Times New Roman"/>
        </w:rPr>
      </w:pPr>
      <w:r>
        <w:rPr>
          <w:rFonts w:cs="Times New Roman"/>
        </w:rPr>
        <w:t>ms.alshaye@hotmail.com</w:t>
      </w:r>
      <w:r w:rsidR="004A4812">
        <w:rPr>
          <w:rFonts w:cs="Times New Roman"/>
        </w:rPr>
        <w:t xml:space="preserve"> </w:t>
      </w:r>
    </w:p>
    <w:p w:rsidR="004A4812" w:rsidRPr="00C32C6E" w:rsidRDefault="004A4812" w:rsidP="004A4812">
      <w:pPr>
        <w:rPr>
          <w:rtl/>
        </w:rPr>
      </w:pPr>
    </w:p>
    <w:p w:rsidR="00143351" w:rsidRDefault="00143351"/>
    <w:sectPr w:rsidR="00143351" w:rsidSect="00894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2147"/>
    <w:multiLevelType w:val="hybridMultilevel"/>
    <w:tmpl w:val="D2BC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A4812"/>
    <w:rsid w:val="00143351"/>
    <w:rsid w:val="00266E75"/>
    <w:rsid w:val="00361515"/>
    <w:rsid w:val="00400CC1"/>
    <w:rsid w:val="00475937"/>
    <w:rsid w:val="004A4812"/>
    <w:rsid w:val="00894A41"/>
    <w:rsid w:val="00B861A8"/>
    <w:rsid w:val="00C6210A"/>
    <w:rsid w:val="00D2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bidi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812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4A4812"/>
    <w:rPr>
      <w:color w:val="0000FF"/>
      <w:u w:val="single"/>
    </w:rPr>
  </w:style>
  <w:style w:type="paragraph" w:customStyle="1" w:styleId="msonospacing0">
    <w:name w:val="msonospacing"/>
    <w:basedOn w:val="Normal"/>
    <w:rsid w:val="004A4812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4A4812"/>
    <w:pPr>
      <w:widowControl w:val="0"/>
      <w:suppressLineNumbers/>
      <w:suppressAutoHyphens/>
      <w:bidi w:val="0"/>
      <w:spacing w:after="0" w:line="240" w:lineRule="auto"/>
      <w:jc w:val="lef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SHATHA</cp:lastModifiedBy>
  <cp:revision>3</cp:revision>
  <cp:lastPrinted>2011-02-18T11:51:00Z</cp:lastPrinted>
  <dcterms:created xsi:type="dcterms:W3CDTF">2011-02-17T21:32:00Z</dcterms:created>
  <dcterms:modified xsi:type="dcterms:W3CDTF">2011-02-18T11:52:00Z</dcterms:modified>
</cp:coreProperties>
</file>