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2F" w:rsidRDefault="008E752F" w:rsidP="008E752F">
      <w:pPr>
        <w:pStyle w:val="Default"/>
        <w:jc w:val="center"/>
        <w:rPr>
          <w:sz w:val="48"/>
          <w:szCs w:val="48"/>
        </w:rPr>
      </w:pPr>
      <w:r>
        <w:rPr>
          <w:b/>
          <w:bCs/>
          <w:sz w:val="48"/>
          <w:szCs w:val="48"/>
        </w:rPr>
        <w:t>King Saud University</w:t>
      </w:r>
    </w:p>
    <w:p w:rsidR="008E752F" w:rsidRDefault="008E752F" w:rsidP="008E752F">
      <w:pPr>
        <w:pStyle w:val="Default"/>
        <w:jc w:val="center"/>
        <w:rPr>
          <w:sz w:val="36"/>
          <w:szCs w:val="36"/>
        </w:rPr>
      </w:pPr>
      <w:r>
        <w:rPr>
          <w:sz w:val="36"/>
          <w:szCs w:val="36"/>
        </w:rPr>
        <w:t>College of Applied Medical Sciences</w:t>
      </w:r>
    </w:p>
    <w:p w:rsidR="00EA474A" w:rsidRDefault="008E752F" w:rsidP="008E752F">
      <w:pPr>
        <w:jc w:val="center"/>
        <w:rPr>
          <w:rtl/>
        </w:rPr>
      </w:pPr>
      <w:r>
        <w:rPr>
          <w:sz w:val="28"/>
          <w:szCs w:val="28"/>
        </w:rPr>
        <w:t>Health Education Department</w:t>
      </w:r>
    </w:p>
    <w:p w:rsidR="00FA1748" w:rsidRDefault="008E752F" w:rsidP="008E752F">
      <w:pPr>
        <w:pStyle w:val="Default"/>
        <w:jc w:val="center"/>
        <w:rPr>
          <w:rFonts w:asciiTheme="majorBidi" w:hAnsiTheme="majorBidi" w:cstheme="majorBidi"/>
          <w:b/>
          <w:bCs/>
        </w:rPr>
      </w:pPr>
      <w:r w:rsidRPr="00492476">
        <w:rPr>
          <w:rFonts w:asciiTheme="majorBidi" w:hAnsiTheme="majorBidi" w:cstheme="majorBidi"/>
          <w:b/>
          <w:bCs/>
        </w:rPr>
        <w:t xml:space="preserve">Social Concept of Health Education </w:t>
      </w:r>
    </w:p>
    <w:p w:rsidR="008E752F" w:rsidRPr="00492476" w:rsidRDefault="008E752F" w:rsidP="008E752F">
      <w:pPr>
        <w:pStyle w:val="Default"/>
        <w:jc w:val="center"/>
        <w:rPr>
          <w:rFonts w:asciiTheme="majorBidi" w:hAnsiTheme="majorBidi" w:cstheme="majorBidi"/>
        </w:rPr>
      </w:pPr>
      <w:r w:rsidRPr="00492476">
        <w:rPr>
          <w:rFonts w:asciiTheme="majorBidi" w:hAnsiTheme="majorBidi" w:cstheme="majorBidi"/>
          <w:b/>
          <w:bCs/>
        </w:rPr>
        <w:t>(CHS 383) – 3 credits</w:t>
      </w:r>
    </w:p>
    <w:p w:rsidR="008E752F" w:rsidRPr="00492476" w:rsidRDefault="008E752F" w:rsidP="008E752F">
      <w:pPr>
        <w:pStyle w:val="Default"/>
        <w:jc w:val="center"/>
        <w:rPr>
          <w:rFonts w:asciiTheme="majorBidi" w:hAnsiTheme="majorBidi" w:cstheme="majorBidi"/>
        </w:rPr>
      </w:pPr>
      <w:r w:rsidRPr="00492476">
        <w:rPr>
          <w:rFonts w:asciiTheme="majorBidi" w:hAnsiTheme="majorBidi" w:cstheme="majorBidi"/>
        </w:rPr>
        <w:t>Course Syllabus</w:t>
      </w:r>
    </w:p>
    <w:p w:rsidR="008E752F" w:rsidRPr="00492476" w:rsidRDefault="009F2F04" w:rsidP="008E752F">
      <w:pPr>
        <w:pStyle w:val="Default"/>
        <w:jc w:val="center"/>
        <w:rPr>
          <w:rFonts w:asciiTheme="majorBidi" w:hAnsiTheme="majorBidi" w:cstheme="majorBidi"/>
        </w:rPr>
      </w:pPr>
      <w:r>
        <w:rPr>
          <w:rFonts w:asciiTheme="majorBidi" w:hAnsiTheme="majorBidi" w:cstheme="majorBidi"/>
        </w:rPr>
        <w:t>First</w:t>
      </w:r>
      <w:r w:rsidR="008E752F" w:rsidRPr="00492476">
        <w:rPr>
          <w:rFonts w:asciiTheme="majorBidi" w:hAnsiTheme="majorBidi" w:cstheme="majorBidi"/>
        </w:rPr>
        <w:t xml:space="preserve"> Semester, 2011</w:t>
      </w:r>
      <w:r>
        <w:rPr>
          <w:rFonts w:asciiTheme="majorBidi" w:hAnsiTheme="majorBidi" w:cstheme="majorBidi"/>
        </w:rPr>
        <w:t>-2012</w:t>
      </w:r>
      <w:r w:rsidR="008E752F" w:rsidRPr="00492476">
        <w:rPr>
          <w:rFonts w:asciiTheme="majorBidi" w:hAnsiTheme="majorBidi" w:cstheme="majorBidi"/>
        </w:rPr>
        <w:t>/1432</w:t>
      </w:r>
      <w:r>
        <w:rPr>
          <w:rFonts w:asciiTheme="majorBidi" w:hAnsiTheme="majorBidi" w:cstheme="majorBidi"/>
        </w:rPr>
        <w:t>-1433H</w:t>
      </w:r>
    </w:p>
    <w:p w:rsidR="008E752F" w:rsidRDefault="008E752F" w:rsidP="008E752F">
      <w:pPr>
        <w:jc w:val="center"/>
        <w:rPr>
          <w:sz w:val="23"/>
          <w:szCs w:val="23"/>
          <w:rtl/>
        </w:rPr>
      </w:pPr>
      <w:r w:rsidRPr="00492476">
        <w:rPr>
          <w:rFonts w:asciiTheme="majorBidi" w:hAnsiTheme="majorBidi" w:cstheme="majorBidi"/>
          <w:sz w:val="24"/>
          <w:szCs w:val="24"/>
        </w:rPr>
        <w:t>Level 6</w:t>
      </w:r>
    </w:p>
    <w:p w:rsidR="008E752F" w:rsidRPr="00492476" w:rsidRDefault="008E752F" w:rsidP="007B4560">
      <w:pPr>
        <w:pStyle w:val="Default"/>
        <w:rPr>
          <w:rFonts w:asciiTheme="majorBidi" w:hAnsiTheme="majorBidi" w:cstheme="majorBidi"/>
        </w:rPr>
      </w:pPr>
      <w:r w:rsidRPr="00492476">
        <w:rPr>
          <w:rFonts w:asciiTheme="majorBidi" w:hAnsiTheme="majorBidi" w:cstheme="majorBidi"/>
        </w:rPr>
        <w:t xml:space="preserve">Course Instructor: </w:t>
      </w:r>
      <w:r w:rsidR="00B75FD1">
        <w:rPr>
          <w:rFonts w:asciiTheme="majorBidi" w:hAnsiTheme="majorBidi" w:cstheme="majorBidi"/>
        </w:rPr>
        <w:t xml:space="preserve">Ms. </w:t>
      </w:r>
      <w:proofErr w:type="spellStart"/>
      <w:r w:rsidRPr="00492476">
        <w:rPr>
          <w:rFonts w:asciiTheme="majorBidi" w:hAnsiTheme="majorBidi" w:cstheme="majorBidi"/>
        </w:rPr>
        <w:t>Mezna</w:t>
      </w:r>
      <w:proofErr w:type="spellEnd"/>
      <w:r w:rsidRPr="00492476">
        <w:rPr>
          <w:rFonts w:asciiTheme="majorBidi" w:hAnsiTheme="majorBidi" w:cstheme="majorBidi"/>
        </w:rPr>
        <w:t xml:space="preserve"> </w:t>
      </w:r>
      <w:proofErr w:type="spellStart"/>
      <w:r w:rsidRPr="00492476">
        <w:rPr>
          <w:rFonts w:asciiTheme="majorBidi" w:hAnsiTheme="majorBidi" w:cstheme="majorBidi"/>
        </w:rPr>
        <w:t>AlMarzooqi</w:t>
      </w:r>
      <w:proofErr w:type="spellEnd"/>
      <w:r w:rsidRPr="00492476">
        <w:rPr>
          <w:rFonts w:asciiTheme="majorBidi" w:hAnsiTheme="majorBidi" w:cstheme="majorBidi"/>
        </w:rPr>
        <w:t xml:space="preserve">, MPH </w:t>
      </w:r>
    </w:p>
    <w:p w:rsidR="007B4560" w:rsidRPr="007B4560" w:rsidRDefault="008E752F" w:rsidP="007B4560">
      <w:pPr>
        <w:tabs>
          <w:tab w:val="left" w:pos="5845"/>
          <w:tab w:val="right" w:pos="9026"/>
        </w:tabs>
        <w:spacing w:line="240" w:lineRule="auto"/>
        <w:jc w:val="right"/>
        <w:rPr>
          <w:rFonts w:asciiTheme="majorBidi" w:hAnsiTheme="majorBidi" w:cstheme="majorBidi"/>
          <w:sz w:val="24"/>
          <w:szCs w:val="24"/>
          <w:rtl/>
        </w:rPr>
      </w:pPr>
      <w:r w:rsidRPr="00492476">
        <w:rPr>
          <w:rFonts w:asciiTheme="majorBidi" w:hAnsiTheme="majorBidi" w:cstheme="majorBidi"/>
          <w:sz w:val="24"/>
          <w:szCs w:val="24"/>
        </w:rPr>
        <w:tab/>
      </w:r>
      <w:r w:rsidRPr="00492476">
        <w:rPr>
          <w:rFonts w:asciiTheme="majorBidi" w:hAnsiTheme="majorBidi" w:cstheme="majorBidi"/>
          <w:sz w:val="24"/>
          <w:szCs w:val="24"/>
        </w:rPr>
        <w:tab/>
      </w:r>
      <w:r w:rsidR="007B4560" w:rsidRPr="00492476">
        <w:rPr>
          <w:rFonts w:asciiTheme="majorBidi" w:hAnsiTheme="majorBidi" w:cstheme="majorBidi"/>
          <w:sz w:val="24"/>
          <w:szCs w:val="24"/>
        </w:rPr>
        <w:t xml:space="preserve">Email: </w:t>
      </w:r>
      <w:hyperlink r:id="rId5" w:history="1">
        <w:r w:rsidR="007B4560" w:rsidRPr="00492476">
          <w:rPr>
            <w:rStyle w:val="Hyperlink"/>
            <w:rFonts w:asciiTheme="majorBidi" w:hAnsiTheme="majorBidi" w:cstheme="majorBidi"/>
            <w:sz w:val="24"/>
            <w:szCs w:val="24"/>
          </w:rPr>
          <w:t>malmarzooqi@ksu.edu.sa</w:t>
        </w:r>
      </w:hyperlink>
    </w:p>
    <w:p w:rsidR="00FB7DB4" w:rsidRDefault="007B4560" w:rsidP="00FA1748">
      <w:pPr>
        <w:tabs>
          <w:tab w:val="left" w:pos="5845"/>
          <w:tab w:val="right" w:pos="9026"/>
        </w:tabs>
        <w:spacing w:line="240" w:lineRule="auto"/>
        <w:jc w:val="right"/>
        <w:rPr>
          <w:rFonts w:asciiTheme="majorBidi" w:hAnsiTheme="majorBidi" w:cstheme="majorBidi"/>
          <w:sz w:val="24"/>
          <w:szCs w:val="24"/>
        </w:rPr>
      </w:pPr>
      <w:r>
        <w:rPr>
          <w:rFonts w:asciiTheme="majorBidi" w:hAnsiTheme="majorBidi" w:cstheme="majorBidi"/>
          <w:sz w:val="24"/>
          <w:szCs w:val="24"/>
        </w:rPr>
        <w:t xml:space="preserve">Office: </w:t>
      </w:r>
      <w:proofErr w:type="gramStart"/>
      <w:r>
        <w:rPr>
          <w:rFonts w:asciiTheme="majorBidi" w:hAnsiTheme="majorBidi" w:cstheme="majorBidi"/>
          <w:sz w:val="24"/>
          <w:szCs w:val="24"/>
        </w:rPr>
        <w:t xml:space="preserve">30A1  </w:t>
      </w:r>
      <w:r w:rsidR="00FA1748">
        <w:rPr>
          <w:rFonts w:asciiTheme="majorBidi" w:hAnsiTheme="majorBidi" w:cstheme="majorBidi"/>
          <w:sz w:val="24"/>
          <w:szCs w:val="24"/>
        </w:rPr>
        <w:t>office</w:t>
      </w:r>
      <w:proofErr w:type="gramEnd"/>
      <w:r w:rsidR="00FA1748">
        <w:rPr>
          <w:rFonts w:asciiTheme="majorBidi" w:hAnsiTheme="majorBidi" w:cstheme="majorBidi"/>
          <w:sz w:val="24"/>
          <w:szCs w:val="24"/>
        </w:rPr>
        <w:t>: 4355010 Ext:851</w:t>
      </w:r>
      <w:r w:rsidR="00FB7DB4">
        <w:rPr>
          <w:rFonts w:asciiTheme="majorBidi" w:hAnsiTheme="majorBidi" w:cstheme="majorBidi"/>
          <w:sz w:val="24"/>
          <w:szCs w:val="24"/>
        </w:rPr>
        <w:t xml:space="preserve">       </w:t>
      </w:r>
    </w:p>
    <w:p w:rsidR="007B4560" w:rsidRDefault="007B4560" w:rsidP="009F2F04">
      <w:pPr>
        <w:tabs>
          <w:tab w:val="left" w:pos="5845"/>
          <w:tab w:val="right" w:pos="9026"/>
        </w:tabs>
        <w:spacing w:line="240" w:lineRule="auto"/>
        <w:jc w:val="right"/>
        <w:rPr>
          <w:rFonts w:asciiTheme="majorBidi" w:hAnsiTheme="majorBidi" w:cstheme="majorBidi"/>
          <w:sz w:val="24"/>
          <w:szCs w:val="24"/>
          <w:rtl/>
        </w:rPr>
      </w:pPr>
      <w:r>
        <w:rPr>
          <w:rFonts w:asciiTheme="majorBidi" w:hAnsiTheme="majorBidi" w:cstheme="majorBidi"/>
          <w:sz w:val="24"/>
          <w:szCs w:val="24"/>
        </w:rPr>
        <w:t xml:space="preserve">Office Hours: </w:t>
      </w:r>
      <w:r w:rsidR="009F2F04">
        <w:rPr>
          <w:rFonts w:asciiTheme="majorBidi" w:hAnsiTheme="majorBidi" w:cstheme="majorBidi"/>
          <w:sz w:val="24"/>
          <w:szCs w:val="24"/>
        </w:rPr>
        <w:t>SAT.</w:t>
      </w:r>
      <w:r>
        <w:rPr>
          <w:rFonts w:asciiTheme="majorBidi" w:hAnsiTheme="majorBidi" w:cstheme="majorBidi"/>
          <w:sz w:val="24"/>
          <w:szCs w:val="24"/>
        </w:rPr>
        <w:t xml:space="preserve"> </w:t>
      </w:r>
      <w:proofErr w:type="gramStart"/>
      <w:r w:rsidR="00FB7DB4">
        <w:rPr>
          <w:rFonts w:asciiTheme="majorBidi" w:hAnsiTheme="majorBidi" w:cstheme="majorBidi"/>
          <w:sz w:val="24"/>
          <w:szCs w:val="24"/>
        </w:rPr>
        <w:t>from</w:t>
      </w:r>
      <w:proofErr w:type="gramEnd"/>
      <w:r>
        <w:rPr>
          <w:rFonts w:asciiTheme="majorBidi" w:hAnsiTheme="majorBidi" w:cstheme="majorBidi"/>
          <w:sz w:val="24"/>
          <w:szCs w:val="24"/>
        </w:rPr>
        <w:t xml:space="preserve"> </w:t>
      </w:r>
      <w:r w:rsidR="009F2F04">
        <w:rPr>
          <w:rFonts w:asciiTheme="majorBidi" w:hAnsiTheme="majorBidi" w:cstheme="majorBidi"/>
          <w:sz w:val="24"/>
          <w:szCs w:val="24"/>
        </w:rPr>
        <w:t>10</w:t>
      </w:r>
      <w:r>
        <w:rPr>
          <w:rFonts w:asciiTheme="majorBidi" w:hAnsiTheme="majorBidi" w:cstheme="majorBidi"/>
          <w:sz w:val="24"/>
          <w:szCs w:val="24"/>
        </w:rPr>
        <w:t xml:space="preserve">:00 a.m. </w:t>
      </w:r>
      <w:r w:rsidR="00FB7DB4">
        <w:rPr>
          <w:rFonts w:asciiTheme="majorBidi" w:hAnsiTheme="majorBidi" w:cstheme="majorBidi"/>
          <w:sz w:val="24"/>
          <w:szCs w:val="24"/>
        </w:rPr>
        <w:t>to</w:t>
      </w:r>
      <w:r>
        <w:rPr>
          <w:rFonts w:asciiTheme="majorBidi" w:hAnsiTheme="majorBidi" w:cstheme="majorBidi"/>
          <w:sz w:val="24"/>
          <w:szCs w:val="24"/>
        </w:rPr>
        <w:t xml:space="preserve"> </w:t>
      </w:r>
      <w:r w:rsidR="009F2F04">
        <w:rPr>
          <w:rFonts w:asciiTheme="majorBidi" w:hAnsiTheme="majorBidi" w:cstheme="majorBidi"/>
          <w:sz w:val="24"/>
          <w:szCs w:val="24"/>
        </w:rPr>
        <w:t>11</w:t>
      </w:r>
      <w:r>
        <w:rPr>
          <w:rFonts w:asciiTheme="majorBidi" w:hAnsiTheme="majorBidi" w:cstheme="majorBidi"/>
          <w:sz w:val="24"/>
          <w:szCs w:val="24"/>
        </w:rPr>
        <w:t xml:space="preserve">:00 </w:t>
      </w:r>
      <w:r w:rsidR="009F2F04">
        <w:rPr>
          <w:rFonts w:asciiTheme="majorBidi" w:hAnsiTheme="majorBidi" w:cstheme="majorBidi"/>
          <w:sz w:val="24"/>
          <w:szCs w:val="24"/>
        </w:rPr>
        <w:t>a</w:t>
      </w:r>
      <w:r>
        <w:rPr>
          <w:rFonts w:asciiTheme="majorBidi" w:hAnsiTheme="majorBidi" w:cstheme="majorBidi"/>
          <w:sz w:val="24"/>
          <w:szCs w:val="24"/>
        </w:rPr>
        <w:t>.</w:t>
      </w:r>
      <w:r w:rsidR="00FB7DB4">
        <w:rPr>
          <w:rFonts w:asciiTheme="majorBidi" w:hAnsiTheme="majorBidi" w:cstheme="majorBidi"/>
          <w:sz w:val="24"/>
          <w:szCs w:val="24"/>
        </w:rPr>
        <w:t>m.</w:t>
      </w:r>
      <w:r w:rsidR="009F2F04">
        <w:rPr>
          <w:rFonts w:asciiTheme="majorBidi" w:hAnsiTheme="majorBidi" w:cstheme="majorBidi"/>
          <w:sz w:val="24"/>
          <w:szCs w:val="24"/>
        </w:rPr>
        <w:t xml:space="preserve">                                                                        </w:t>
      </w:r>
      <w:r w:rsidR="00542AE9">
        <w:rPr>
          <w:rFonts w:asciiTheme="majorBidi" w:hAnsiTheme="majorBidi" w:cstheme="majorBidi"/>
          <w:sz w:val="24"/>
          <w:szCs w:val="24"/>
        </w:rPr>
        <w:t xml:space="preserve">                    MON</w:t>
      </w:r>
      <w:proofErr w:type="gramStart"/>
      <w:r w:rsidR="00542AE9">
        <w:rPr>
          <w:rFonts w:asciiTheme="majorBidi" w:hAnsiTheme="majorBidi" w:cstheme="majorBidi"/>
          <w:sz w:val="24"/>
          <w:szCs w:val="24"/>
        </w:rPr>
        <w:t>.&amp;</w:t>
      </w:r>
      <w:proofErr w:type="gramEnd"/>
      <w:r w:rsidR="00542AE9">
        <w:rPr>
          <w:rFonts w:asciiTheme="majorBidi" w:hAnsiTheme="majorBidi" w:cstheme="majorBidi"/>
          <w:sz w:val="24"/>
          <w:szCs w:val="24"/>
        </w:rPr>
        <w:t xml:space="preserve"> TUS. f</w:t>
      </w:r>
      <w:r w:rsidR="009F2F04">
        <w:rPr>
          <w:rFonts w:asciiTheme="majorBidi" w:hAnsiTheme="majorBidi" w:cstheme="majorBidi"/>
          <w:sz w:val="24"/>
          <w:szCs w:val="24"/>
        </w:rPr>
        <w:t xml:space="preserve">rom </w:t>
      </w:r>
      <w:r w:rsidR="00D65695">
        <w:rPr>
          <w:rFonts w:asciiTheme="majorBidi" w:hAnsiTheme="majorBidi" w:cstheme="majorBidi"/>
          <w:sz w:val="24"/>
          <w:szCs w:val="24"/>
        </w:rPr>
        <w:t>10:00 a.m. to 12:00 a.</w:t>
      </w:r>
      <w:r w:rsidR="009F2F04">
        <w:rPr>
          <w:rFonts w:asciiTheme="majorBidi" w:hAnsiTheme="majorBidi" w:cstheme="majorBidi"/>
          <w:sz w:val="24"/>
          <w:szCs w:val="24"/>
        </w:rPr>
        <w:t xml:space="preserve">m. </w:t>
      </w:r>
      <w:r w:rsidR="00FB7DB4">
        <w:rPr>
          <w:rFonts w:asciiTheme="majorBidi" w:hAnsiTheme="majorBidi" w:cstheme="majorBidi"/>
          <w:sz w:val="24"/>
          <w:szCs w:val="24"/>
        </w:rPr>
        <w:t xml:space="preserve"> </w:t>
      </w:r>
      <w:r>
        <w:rPr>
          <w:rFonts w:asciiTheme="majorBidi" w:hAnsiTheme="majorBidi" w:cstheme="majorBidi"/>
          <w:sz w:val="24"/>
          <w:szCs w:val="24"/>
        </w:rPr>
        <w:t xml:space="preserve"> </w:t>
      </w:r>
    </w:p>
    <w:p w:rsidR="008E752F" w:rsidRPr="00B75FD1" w:rsidRDefault="008E752F" w:rsidP="008E752F">
      <w:pPr>
        <w:pStyle w:val="Default"/>
        <w:rPr>
          <w:rFonts w:asciiTheme="majorBidi" w:hAnsiTheme="majorBidi" w:cstheme="majorBidi"/>
          <w:b/>
          <w:bCs/>
        </w:rPr>
      </w:pPr>
      <w:r w:rsidRPr="00B75FD1">
        <w:rPr>
          <w:rFonts w:asciiTheme="majorBidi" w:hAnsiTheme="majorBidi" w:cstheme="majorBidi"/>
          <w:b/>
          <w:bCs/>
        </w:rPr>
        <w:t xml:space="preserve">Class time and location: </w:t>
      </w:r>
    </w:p>
    <w:p w:rsidR="008E752F" w:rsidRPr="00492476" w:rsidRDefault="008E752F" w:rsidP="009F2F04">
      <w:pPr>
        <w:pStyle w:val="Default"/>
        <w:rPr>
          <w:rFonts w:asciiTheme="majorBidi" w:hAnsiTheme="majorBidi" w:cstheme="majorBidi"/>
        </w:rPr>
      </w:pPr>
      <w:r w:rsidRPr="00492476">
        <w:rPr>
          <w:rFonts w:asciiTheme="majorBidi" w:hAnsiTheme="majorBidi" w:cstheme="majorBidi"/>
        </w:rPr>
        <w:t xml:space="preserve">Time: </w:t>
      </w:r>
      <w:r w:rsidR="009F2F04">
        <w:rPr>
          <w:rFonts w:asciiTheme="majorBidi" w:hAnsiTheme="majorBidi" w:cstheme="majorBidi"/>
        </w:rPr>
        <w:t>Wednesday</w:t>
      </w:r>
      <w:r w:rsidRPr="00492476">
        <w:rPr>
          <w:rFonts w:asciiTheme="majorBidi" w:hAnsiTheme="majorBidi" w:cstheme="majorBidi"/>
        </w:rPr>
        <w:t xml:space="preserve"> </w:t>
      </w:r>
      <w:r w:rsidR="009F2F04">
        <w:rPr>
          <w:rFonts w:asciiTheme="majorBidi" w:hAnsiTheme="majorBidi" w:cstheme="majorBidi"/>
        </w:rPr>
        <w:t>8</w:t>
      </w:r>
      <w:r w:rsidRPr="00492476">
        <w:rPr>
          <w:rFonts w:asciiTheme="majorBidi" w:hAnsiTheme="majorBidi" w:cstheme="majorBidi"/>
        </w:rPr>
        <w:t xml:space="preserve">:00 a.m. to </w:t>
      </w:r>
      <w:r w:rsidR="009F2F04">
        <w:rPr>
          <w:rFonts w:asciiTheme="majorBidi" w:hAnsiTheme="majorBidi" w:cstheme="majorBidi"/>
        </w:rPr>
        <w:t>10</w:t>
      </w:r>
      <w:r w:rsidRPr="00492476">
        <w:rPr>
          <w:rFonts w:asciiTheme="majorBidi" w:hAnsiTheme="majorBidi" w:cstheme="majorBidi"/>
        </w:rPr>
        <w:t xml:space="preserve">:00 </w:t>
      </w:r>
      <w:r w:rsidR="009F2F04">
        <w:rPr>
          <w:rFonts w:asciiTheme="majorBidi" w:hAnsiTheme="majorBidi" w:cstheme="majorBidi"/>
        </w:rPr>
        <w:t>a</w:t>
      </w:r>
      <w:r w:rsidRPr="00492476">
        <w:rPr>
          <w:rFonts w:asciiTheme="majorBidi" w:hAnsiTheme="majorBidi" w:cstheme="majorBidi"/>
        </w:rPr>
        <w:t xml:space="preserve">.m. </w:t>
      </w:r>
    </w:p>
    <w:p w:rsidR="008E752F" w:rsidRPr="00492476" w:rsidRDefault="008E752F" w:rsidP="009F2F04">
      <w:pPr>
        <w:tabs>
          <w:tab w:val="left" w:pos="5845"/>
          <w:tab w:val="right" w:pos="9026"/>
        </w:tabs>
        <w:jc w:val="right"/>
        <w:rPr>
          <w:rFonts w:asciiTheme="majorBidi" w:hAnsiTheme="majorBidi" w:cstheme="majorBidi"/>
          <w:sz w:val="24"/>
          <w:szCs w:val="24"/>
        </w:rPr>
      </w:pPr>
      <w:r w:rsidRPr="00492476">
        <w:rPr>
          <w:rFonts w:asciiTheme="majorBidi" w:hAnsiTheme="majorBidi" w:cstheme="majorBidi"/>
          <w:sz w:val="24"/>
          <w:szCs w:val="24"/>
        </w:rPr>
        <w:t xml:space="preserve">Classroom: </w:t>
      </w:r>
      <w:r w:rsidR="009F2F04">
        <w:rPr>
          <w:rFonts w:asciiTheme="majorBidi" w:hAnsiTheme="majorBidi" w:cstheme="majorBidi"/>
          <w:sz w:val="24"/>
          <w:szCs w:val="24"/>
        </w:rPr>
        <w:t>BB6</w:t>
      </w:r>
    </w:p>
    <w:p w:rsidR="008E752F" w:rsidRPr="00B75FD1" w:rsidRDefault="008E752F" w:rsidP="008E752F">
      <w:pPr>
        <w:pStyle w:val="Default"/>
        <w:rPr>
          <w:rFonts w:asciiTheme="majorBidi" w:hAnsiTheme="majorBidi" w:cstheme="majorBidi"/>
          <w:b/>
          <w:bCs/>
        </w:rPr>
      </w:pPr>
      <w:r w:rsidRPr="00B75FD1">
        <w:rPr>
          <w:rFonts w:asciiTheme="majorBidi" w:hAnsiTheme="majorBidi" w:cstheme="majorBidi"/>
          <w:b/>
          <w:bCs/>
        </w:rPr>
        <w:t>Course prerequisites:</w:t>
      </w:r>
    </w:p>
    <w:tbl>
      <w:tblPr>
        <w:bidiVisual/>
        <w:tblW w:w="9198" w:type="dxa"/>
        <w:tblBorders>
          <w:top w:val="nil"/>
          <w:left w:val="nil"/>
          <w:bottom w:val="nil"/>
          <w:right w:val="nil"/>
        </w:tblBorders>
        <w:tblLayout w:type="fixed"/>
        <w:tblLook w:val="0000"/>
      </w:tblPr>
      <w:tblGrid>
        <w:gridCol w:w="9198"/>
      </w:tblGrid>
      <w:tr w:rsidR="008E752F" w:rsidRPr="00492476" w:rsidTr="008E752F">
        <w:trPr>
          <w:trHeight w:val="443"/>
        </w:trPr>
        <w:tc>
          <w:tcPr>
            <w:tcW w:w="9198" w:type="dxa"/>
          </w:tcPr>
          <w:p w:rsidR="00B75FD1" w:rsidRPr="00FB7DB4" w:rsidRDefault="00B75FD1" w:rsidP="008E752F">
            <w:pPr>
              <w:pStyle w:val="Default"/>
              <w:rPr>
                <w:rFonts w:asciiTheme="majorBidi" w:hAnsiTheme="majorBidi" w:cstheme="majorBidi"/>
                <w:sz w:val="16"/>
                <w:szCs w:val="16"/>
              </w:rPr>
            </w:pPr>
          </w:p>
          <w:p w:rsidR="008E752F" w:rsidRPr="00492476" w:rsidRDefault="008E752F" w:rsidP="008E752F">
            <w:pPr>
              <w:pStyle w:val="Default"/>
              <w:rPr>
                <w:rFonts w:asciiTheme="majorBidi" w:hAnsiTheme="majorBidi" w:cstheme="majorBidi"/>
              </w:rPr>
            </w:pPr>
            <w:r w:rsidRPr="00492476">
              <w:rPr>
                <w:rFonts w:asciiTheme="majorBidi" w:hAnsiTheme="majorBidi" w:cstheme="majorBidi"/>
              </w:rPr>
              <w:t>Principles of health education (CHS 282) and health sciences (CHS 232)</w:t>
            </w:r>
          </w:p>
        </w:tc>
      </w:tr>
    </w:tbl>
    <w:p w:rsidR="00B75FD1" w:rsidRDefault="00B75FD1" w:rsidP="008E752F">
      <w:pPr>
        <w:pStyle w:val="Default"/>
        <w:rPr>
          <w:rFonts w:asciiTheme="majorBidi" w:hAnsiTheme="majorBidi" w:cstheme="majorBidi"/>
          <w:b/>
          <w:bCs/>
        </w:rPr>
      </w:pPr>
    </w:p>
    <w:p w:rsidR="00B75FD1" w:rsidRPr="00B75FD1" w:rsidRDefault="008E752F" w:rsidP="00B75FD1">
      <w:pPr>
        <w:pStyle w:val="Default"/>
        <w:rPr>
          <w:rFonts w:asciiTheme="majorBidi" w:hAnsiTheme="majorBidi" w:cstheme="majorBidi"/>
          <w:b/>
          <w:bCs/>
        </w:rPr>
      </w:pPr>
      <w:r w:rsidRPr="00B75FD1">
        <w:rPr>
          <w:rFonts w:asciiTheme="majorBidi" w:hAnsiTheme="majorBidi" w:cstheme="majorBidi"/>
          <w:b/>
          <w:bCs/>
        </w:rPr>
        <w:t xml:space="preserve">Course description: </w:t>
      </w:r>
    </w:p>
    <w:p w:rsidR="008E752F" w:rsidRPr="00492476" w:rsidRDefault="008E752F" w:rsidP="008E752F">
      <w:pPr>
        <w:tabs>
          <w:tab w:val="left" w:pos="5845"/>
          <w:tab w:val="right" w:pos="9026"/>
        </w:tabs>
        <w:jc w:val="right"/>
        <w:rPr>
          <w:rFonts w:asciiTheme="majorBidi" w:hAnsiTheme="majorBidi" w:cstheme="majorBidi"/>
          <w:sz w:val="24"/>
          <w:szCs w:val="24"/>
          <w:rtl/>
        </w:rPr>
      </w:pPr>
      <w:r w:rsidRPr="00492476">
        <w:rPr>
          <w:rFonts w:asciiTheme="majorBidi" w:hAnsiTheme="majorBidi" w:cstheme="majorBidi"/>
          <w:sz w:val="24"/>
          <w:szCs w:val="24"/>
        </w:rPr>
        <w:t>The course discusses the contribution of behavioral sciences in health education and promotion. It explores the social determinants of health and investigates the notions of health &amp; illness, group-structure, culture, leadership, social support and socialization. The course also discusses the approaches to social change. Furthermore, it introduces a number of theories such as the theory of general susceptibility of disease.</w:t>
      </w:r>
    </w:p>
    <w:p w:rsidR="008E752F" w:rsidRPr="00B75FD1" w:rsidRDefault="008E752F" w:rsidP="008E752F">
      <w:pPr>
        <w:pStyle w:val="Default"/>
        <w:rPr>
          <w:rFonts w:asciiTheme="majorBidi" w:hAnsiTheme="majorBidi" w:cstheme="majorBidi"/>
          <w:b/>
          <w:bCs/>
        </w:rPr>
      </w:pPr>
      <w:r w:rsidRPr="00B75FD1">
        <w:rPr>
          <w:rFonts w:asciiTheme="majorBidi" w:hAnsiTheme="majorBidi" w:cstheme="majorBidi"/>
          <w:b/>
          <w:bCs/>
        </w:rPr>
        <w:t xml:space="preserve">Course objectives </w:t>
      </w:r>
    </w:p>
    <w:p w:rsidR="00B75FD1" w:rsidRPr="00FB7DB4" w:rsidRDefault="00B75FD1" w:rsidP="008E752F">
      <w:pPr>
        <w:pStyle w:val="Default"/>
        <w:rPr>
          <w:rFonts w:asciiTheme="majorBidi" w:hAnsiTheme="majorBidi" w:cstheme="majorBidi"/>
          <w:sz w:val="16"/>
          <w:szCs w:val="16"/>
        </w:rPr>
      </w:pPr>
    </w:p>
    <w:p w:rsidR="008E752F" w:rsidRPr="00492476" w:rsidRDefault="008E752F" w:rsidP="008E752F">
      <w:pPr>
        <w:pStyle w:val="Default"/>
        <w:rPr>
          <w:rFonts w:asciiTheme="majorBidi" w:hAnsiTheme="majorBidi" w:cstheme="majorBidi"/>
        </w:rPr>
      </w:pPr>
      <w:r w:rsidRPr="00492476">
        <w:rPr>
          <w:rFonts w:asciiTheme="majorBidi" w:hAnsiTheme="majorBidi" w:cstheme="majorBidi"/>
        </w:rPr>
        <w:t xml:space="preserve">By the end of the course, students will be able to: </w:t>
      </w:r>
    </w:p>
    <w:p w:rsidR="008E752F" w:rsidRPr="00FB7DB4" w:rsidRDefault="008E752F" w:rsidP="008E752F">
      <w:pPr>
        <w:pStyle w:val="Default"/>
        <w:rPr>
          <w:rFonts w:asciiTheme="majorBidi" w:hAnsiTheme="majorBidi" w:cstheme="majorBidi"/>
          <w:sz w:val="16"/>
          <w:szCs w:val="16"/>
        </w:rPr>
      </w:pPr>
    </w:p>
    <w:p w:rsidR="008E752F" w:rsidRPr="00492476" w:rsidRDefault="008E752F" w:rsidP="00FB7DB4">
      <w:pPr>
        <w:pStyle w:val="Default"/>
        <w:rPr>
          <w:rFonts w:asciiTheme="majorBidi" w:hAnsiTheme="majorBidi" w:cstheme="majorBidi"/>
        </w:rPr>
      </w:pPr>
      <w:r w:rsidRPr="00492476">
        <w:rPr>
          <w:rFonts w:asciiTheme="majorBidi" w:hAnsiTheme="majorBidi" w:cstheme="majorBidi"/>
        </w:rPr>
        <w:t xml:space="preserve">1. Explain the significance of behavioral sciences in the health education field. </w:t>
      </w:r>
    </w:p>
    <w:p w:rsidR="008E752F" w:rsidRPr="00FB7DB4" w:rsidRDefault="008E752F" w:rsidP="00FB7DB4">
      <w:pPr>
        <w:pStyle w:val="Default"/>
        <w:rPr>
          <w:rFonts w:asciiTheme="majorBidi" w:hAnsiTheme="majorBidi" w:cstheme="majorBidi"/>
          <w:sz w:val="16"/>
          <w:szCs w:val="16"/>
        </w:rPr>
      </w:pPr>
    </w:p>
    <w:p w:rsidR="008E752F" w:rsidRPr="00492476" w:rsidRDefault="008E752F" w:rsidP="00FB7DB4">
      <w:pPr>
        <w:pStyle w:val="Default"/>
        <w:rPr>
          <w:rFonts w:asciiTheme="majorBidi" w:hAnsiTheme="majorBidi" w:cstheme="majorBidi"/>
        </w:rPr>
      </w:pPr>
      <w:r w:rsidRPr="00492476">
        <w:rPr>
          <w:rFonts w:asciiTheme="majorBidi" w:hAnsiTheme="majorBidi" w:cstheme="majorBidi"/>
        </w:rPr>
        <w:t xml:space="preserve">2. Assess and understand the social determinants of health behavior. </w:t>
      </w:r>
    </w:p>
    <w:p w:rsidR="008E752F" w:rsidRPr="00FB7DB4" w:rsidRDefault="008E752F" w:rsidP="00FB7DB4">
      <w:pPr>
        <w:pStyle w:val="Default"/>
        <w:rPr>
          <w:rFonts w:asciiTheme="majorBidi" w:hAnsiTheme="majorBidi" w:cstheme="majorBidi"/>
          <w:sz w:val="16"/>
          <w:szCs w:val="16"/>
        </w:rPr>
      </w:pPr>
    </w:p>
    <w:p w:rsidR="008E752F" w:rsidRPr="00492476" w:rsidRDefault="008E752F" w:rsidP="00FB7DB4">
      <w:pPr>
        <w:pStyle w:val="Default"/>
        <w:rPr>
          <w:rFonts w:asciiTheme="majorBidi" w:hAnsiTheme="majorBidi" w:cstheme="majorBidi"/>
        </w:rPr>
      </w:pPr>
      <w:r w:rsidRPr="00492476">
        <w:rPr>
          <w:rFonts w:asciiTheme="majorBidi" w:hAnsiTheme="majorBidi" w:cstheme="majorBidi"/>
        </w:rPr>
        <w:t xml:space="preserve">3. Discuss the theory of general susceptibility and other theories of health and illness. </w:t>
      </w:r>
    </w:p>
    <w:p w:rsidR="008E752F" w:rsidRPr="00FB7DB4" w:rsidRDefault="008E752F" w:rsidP="00FB7DB4">
      <w:pPr>
        <w:pStyle w:val="Default"/>
        <w:rPr>
          <w:rFonts w:asciiTheme="majorBidi" w:hAnsiTheme="majorBidi" w:cstheme="majorBidi"/>
          <w:sz w:val="16"/>
          <w:szCs w:val="16"/>
        </w:rPr>
      </w:pPr>
    </w:p>
    <w:p w:rsidR="008E752F" w:rsidRPr="00492476" w:rsidRDefault="008E752F" w:rsidP="008E752F">
      <w:pPr>
        <w:pStyle w:val="Default"/>
        <w:rPr>
          <w:rFonts w:asciiTheme="majorBidi" w:hAnsiTheme="majorBidi" w:cstheme="majorBidi"/>
        </w:rPr>
      </w:pPr>
      <w:r w:rsidRPr="00492476">
        <w:rPr>
          <w:rFonts w:asciiTheme="majorBidi" w:hAnsiTheme="majorBidi" w:cstheme="majorBidi"/>
        </w:rPr>
        <w:t xml:space="preserve">4. Define society and relevant constructs such as socialization, social capital, social support, cultural norms and values, leadership, gender, equity and equality. </w:t>
      </w:r>
    </w:p>
    <w:p w:rsidR="008E752F" w:rsidRPr="00FB7DB4" w:rsidRDefault="008E752F" w:rsidP="008E752F">
      <w:pPr>
        <w:pStyle w:val="Default"/>
        <w:rPr>
          <w:rFonts w:asciiTheme="majorBidi" w:hAnsiTheme="majorBidi" w:cstheme="majorBidi"/>
          <w:sz w:val="16"/>
          <w:szCs w:val="16"/>
        </w:rPr>
      </w:pPr>
    </w:p>
    <w:p w:rsidR="008E752F" w:rsidRPr="00492476" w:rsidRDefault="008E752F" w:rsidP="008E752F">
      <w:pPr>
        <w:pStyle w:val="Default"/>
        <w:rPr>
          <w:rFonts w:asciiTheme="majorBidi" w:hAnsiTheme="majorBidi" w:cstheme="majorBidi"/>
        </w:rPr>
      </w:pPr>
      <w:r w:rsidRPr="00492476">
        <w:rPr>
          <w:rFonts w:asciiTheme="majorBidi" w:hAnsiTheme="majorBidi" w:cstheme="majorBidi"/>
        </w:rPr>
        <w:t xml:space="preserve">5. Analyze health behavior within a social context taking into consideration the social determinants of health behavior and the social characteristics of target groups. </w:t>
      </w:r>
    </w:p>
    <w:p w:rsidR="008E752F" w:rsidRPr="00FB7DB4" w:rsidRDefault="008E752F" w:rsidP="008E752F">
      <w:pPr>
        <w:pStyle w:val="Default"/>
        <w:rPr>
          <w:rFonts w:asciiTheme="majorBidi" w:hAnsiTheme="majorBidi" w:cstheme="majorBidi"/>
          <w:sz w:val="16"/>
          <w:szCs w:val="16"/>
        </w:rPr>
      </w:pPr>
    </w:p>
    <w:p w:rsidR="008E752F" w:rsidRPr="00492476" w:rsidRDefault="008E752F" w:rsidP="008E752F">
      <w:pPr>
        <w:pStyle w:val="Default"/>
        <w:rPr>
          <w:rFonts w:asciiTheme="majorBidi" w:hAnsiTheme="majorBidi" w:cstheme="majorBidi"/>
        </w:rPr>
      </w:pPr>
      <w:r w:rsidRPr="00492476">
        <w:rPr>
          <w:rFonts w:asciiTheme="majorBidi" w:hAnsiTheme="majorBidi" w:cstheme="majorBidi"/>
        </w:rPr>
        <w:t xml:space="preserve">6. Recommend effective approaches to social change within specific social settings. </w:t>
      </w:r>
    </w:p>
    <w:p w:rsidR="008E752F" w:rsidRPr="00FB7DB4" w:rsidRDefault="008E752F" w:rsidP="008E752F">
      <w:pPr>
        <w:pStyle w:val="Default"/>
        <w:rPr>
          <w:rFonts w:asciiTheme="majorBidi" w:hAnsiTheme="majorBidi" w:cstheme="majorBidi"/>
          <w:sz w:val="16"/>
          <w:szCs w:val="16"/>
        </w:rPr>
      </w:pPr>
    </w:p>
    <w:p w:rsidR="008E752F" w:rsidRPr="00492476" w:rsidRDefault="008E752F" w:rsidP="008E752F">
      <w:pPr>
        <w:pStyle w:val="Default"/>
        <w:rPr>
          <w:rFonts w:asciiTheme="majorBidi" w:hAnsiTheme="majorBidi" w:cstheme="majorBidi"/>
        </w:rPr>
      </w:pPr>
      <w:r w:rsidRPr="00492476">
        <w:rPr>
          <w:rFonts w:asciiTheme="majorBidi" w:hAnsiTheme="majorBidi" w:cstheme="majorBidi"/>
        </w:rPr>
        <w:t xml:space="preserve">7. Define the "Quality of Life". </w:t>
      </w:r>
    </w:p>
    <w:p w:rsidR="008E752F" w:rsidRPr="00FB7DB4" w:rsidRDefault="008E752F" w:rsidP="008E752F">
      <w:pPr>
        <w:pStyle w:val="Default"/>
        <w:rPr>
          <w:rFonts w:asciiTheme="majorBidi" w:hAnsiTheme="majorBidi" w:cstheme="majorBidi"/>
          <w:sz w:val="16"/>
          <w:szCs w:val="16"/>
        </w:rPr>
      </w:pPr>
    </w:p>
    <w:p w:rsidR="008E752F" w:rsidRPr="00492476" w:rsidRDefault="008E752F" w:rsidP="00B75FD1">
      <w:pPr>
        <w:pStyle w:val="Default"/>
        <w:rPr>
          <w:rFonts w:asciiTheme="majorBidi" w:hAnsiTheme="majorBidi" w:cstheme="majorBidi"/>
          <w:rtl/>
        </w:rPr>
      </w:pPr>
      <w:r w:rsidRPr="00492476">
        <w:rPr>
          <w:rFonts w:asciiTheme="majorBidi" w:hAnsiTheme="majorBidi" w:cstheme="majorBidi"/>
        </w:rPr>
        <w:t xml:space="preserve">8. Demonstrate the ability of critical thinking and analysis of </w:t>
      </w:r>
      <w:r w:rsidR="00B75FD1">
        <w:rPr>
          <w:rFonts w:asciiTheme="majorBidi" w:hAnsiTheme="majorBidi" w:cstheme="majorBidi"/>
        </w:rPr>
        <w:t>research articles and findings.</w:t>
      </w:r>
    </w:p>
    <w:p w:rsidR="008E752F" w:rsidRPr="00B75FD1" w:rsidRDefault="008E752F" w:rsidP="008E752F">
      <w:pPr>
        <w:pStyle w:val="Default"/>
        <w:rPr>
          <w:b/>
          <w:bCs/>
          <w:u w:val="single"/>
        </w:rPr>
      </w:pPr>
      <w:r w:rsidRPr="00B75FD1">
        <w:rPr>
          <w:b/>
          <w:bCs/>
          <w:u w:val="single"/>
        </w:rPr>
        <w:t xml:space="preserve">Course requirements and student evaluations: </w:t>
      </w:r>
    </w:p>
    <w:p w:rsidR="00492476" w:rsidRPr="00492476" w:rsidRDefault="00492476" w:rsidP="008E752F">
      <w:pPr>
        <w:pStyle w:val="Default"/>
      </w:pPr>
    </w:p>
    <w:p w:rsidR="008E752F" w:rsidRDefault="008E752F" w:rsidP="00492476">
      <w:pPr>
        <w:pStyle w:val="Default"/>
        <w:spacing w:line="276" w:lineRule="auto"/>
      </w:pPr>
      <w:r w:rsidRPr="00492476">
        <w:t xml:space="preserve">Attendance and class participation are very essential. Students are, therefore, expected to attend all lectures and to actively participate in ongoing discussions. They are encouraged to ask any question relevant to the subject. </w:t>
      </w:r>
    </w:p>
    <w:p w:rsidR="00B75FD1" w:rsidRPr="00492476" w:rsidRDefault="00B75FD1" w:rsidP="00492476">
      <w:pPr>
        <w:pStyle w:val="Default"/>
        <w:spacing w:line="276" w:lineRule="auto"/>
      </w:pPr>
    </w:p>
    <w:p w:rsidR="008E752F" w:rsidRDefault="008E752F" w:rsidP="00492476">
      <w:pPr>
        <w:pStyle w:val="Default"/>
        <w:spacing w:line="276" w:lineRule="auto"/>
      </w:pPr>
      <w:r w:rsidRPr="00492476">
        <w:t xml:space="preserve">Students will be assigned specific documents to be presented and discussed in class. Each student will also present a 2-pages critique of a research document. More details will be provided later. </w:t>
      </w:r>
    </w:p>
    <w:p w:rsidR="00B75FD1" w:rsidRPr="00492476" w:rsidRDefault="00B75FD1" w:rsidP="00492476">
      <w:pPr>
        <w:pStyle w:val="Default"/>
        <w:spacing w:line="276" w:lineRule="auto"/>
      </w:pPr>
    </w:p>
    <w:p w:rsidR="008E752F" w:rsidRPr="00492476" w:rsidRDefault="008E752F" w:rsidP="00492476">
      <w:pPr>
        <w:pStyle w:val="Default"/>
        <w:spacing w:line="276" w:lineRule="auto"/>
      </w:pPr>
      <w:r w:rsidRPr="00492476">
        <w:t xml:space="preserve">All assignments should be submitted on the specific due-date. English is the only spoken and written language allowed throughout the course. Cheating and plagiarism will not be tolerated; convenient penalty will be applied. </w:t>
      </w:r>
    </w:p>
    <w:p w:rsidR="008E752F" w:rsidRPr="00492476" w:rsidRDefault="008E752F" w:rsidP="00492476">
      <w:pPr>
        <w:pStyle w:val="Default"/>
        <w:spacing w:line="276" w:lineRule="auto"/>
      </w:pPr>
      <w:r w:rsidRPr="00492476">
        <w:t xml:space="preserve">Students will be evaluated on the following: </w:t>
      </w:r>
    </w:p>
    <w:p w:rsidR="008E752F" w:rsidRPr="00770761" w:rsidRDefault="008E752F" w:rsidP="008E752F">
      <w:pPr>
        <w:pStyle w:val="Default"/>
        <w:rPr>
          <w:sz w:val="28"/>
          <w:szCs w:val="28"/>
        </w:rPr>
      </w:pPr>
    </w:p>
    <w:p w:rsidR="008E752F" w:rsidRPr="00492476" w:rsidRDefault="004B4B69" w:rsidP="009F2F04">
      <w:pPr>
        <w:pStyle w:val="Default"/>
      </w:pPr>
      <w:r>
        <w:t>Midterm I 12</w:t>
      </w:r>
      <w:r w:rsidR="008E752F" w:rsidRPr="00492476">
        <w:t xml:space="preserve">% </w:t>
      </w:r>
      <w:r w:rsidR="00A44561">
        <w:t xml:space="preserve">     </w:t>
      </w:r>
    </w:p>
    <w:p w:rsidR="004B4B69" w:rsidRPr="00492476" w:rsidRDefault="004B4B69" w:rsidP="009F2F04">
      <w:pPr>
        <w:pStyle w:val="Default"/>
      </w:pPr>
      <w:r>
        <w:t>Midterm II 12</w:t>
      </w:r>
      <w:r w:rsidR="008E752F" w:rsidRPr="00492476">
        <w:t xml:space="preserve">% </w:t>
      </w:r>
      <w:r w:rsidR="00A44561">
        <w:t xml:space="preserve">   </w:t>
      </w:r>
      <w:r w:rsidR="00A44561">
        <w:rPr>
          <w:b/>
          <w:bCs/>
        </w:rPr>
        <w:t xml:space="preserve"> </w:t>
      </w:r>
    </w:p>
    <w:p w:rsidR="004B4B69" w:rsidRPr="00FA1748" w:rsidRDefault="004B4B69" w:rsidP="009F2F04">
      <w:pPr>
        <w:pStyle w:val="Default"/>
        <w:rPr>
          <w:b/>
          <w:bCs/>
        </w:rPr>
      </w:pPr>
      <w:r>
        <w:t>Critique 6</w:t>
      </w:r>
      <w:r w:rsidRPr="00492476">
        <w:t xml:space="preserve">% </w:t>
      </w:r>
      <w:r w:rsidR="00A44561">
        <w:t xml:space="preserve">    </w:t>
      </w:r>
    </w:p>
    <w:p w:rsidR="00FA1748" w:rsidRDefault="004B4B69" w:rsidP="009F2F04">
      <w:pPr>
        <w:pStyle w:val="Default"/>
      </w:pPr>
      <w:r>
        <w:t xml:space="preserve">Student </w:t>
      </w:r>
      <w:proofErr w:type="gramStart"/>
      <w:r>
        <w:t>Reflection  3</w:t>
      </w:r>
      <w:proofErr w:type="gramEnd"/>
      <w:r w:rsidRPr="00492476">
        <w:t xml:space="preserve">% </w:t>
      </w:r>
      <w:r w:rsidR="00A44561">
        <w:rPr>
          <w:b/>
          <w:bCs/>
        </w:rPr>
        <w:t xml:space="preserve">  </w:t>
      </w:r>
    </w:p>
    <w:p w:rsidR="008E752F" w:rsidRPr="00492476" w:rsidRDefault="008E752F" w:rsidP="00FA1748">
      <w:pPr>
        <w:pStyle w:val="Default"/>
      </w:pPr>
      <w:r w:rsidRPr="00492476">
        <w:t xml:space="preserve">Final Exam 40% </w:t>
      </w:r>
    </w:p>
    <w:p w:rsidR="008E752F" w:rsidRPr="00492476" w:rsidRDefault="00492476" w:rsidP="00492476">
      <w:pPr>
        <w:pStyle w:val="Default"/>
      </w:pPr>
      <w:r w:rsidRPr="00492476">
        <w:t>Practicum 25</w:t>
      </w:r>
      <w:r w:rsidR="008E752F" w:rsidRPr="00492476">
        <w:t xml:space="preserve">% </w:t>
      </w:r>
    </w:p>
    <w:p w:rsidR="00B75FD1" w:rsidRPr="00FA1748" w:rsidRDefault="004B4B69" w:rsidP="00FA1748">
      <w:pPr>
        <w:pStyle w:val="Default"/>
        <w:rPr>
          <w:rtl/>
        </w:rPr>
      </w:pPr>
      <w:r>
        <w:t xml:space="preserve">Attendance and </w:t>
      </w:r>
      <w:proofErr w:type="gramStart"/>
      <w:r>
        <w:t>participation  2</w:t>
      </w:r>
      <w:proofErr w:type="gramEnd"/>
      <w:r w:rsidR="008E752F" w:rsidRPr="00492476">
        <w:t xml:space="preserve">% </w:t>
      </w:r>
    </w:p>
    <w:p w:rsidR="00885054" w:rsidRPr="00885054" w:rsidRDefault="00885054" w:rsidP="00885054">
      <w:pPr>
        <w:tabs>
          <w:tab w:val="left" w:pos="5845"/>
          <w:tab w:val="right" w:pos="9026"/>
        </w:tabs>
        <w:jc w:val="right"/>
        <w:rPr>
          <w:rFonts w:asciiTheme="majorBidi" w:hAnsiTheme="majorBidi" w:cstheme="majorBidi"/>
          <w:b/>
          <w:bCs/>
          <w:sz w:val="23"/>
          <w:szCs w:val="23"/>
          <w:rtl/>
        </w:rPr>
      </w:pPr>
      <w:r w:rsidRPr="00885054">
        <w:rPr>
          <w:rFonts w:asciiTheme="majorBidi" w:hAnsiTheme="majorBidi" w:cstheme="majorBidi"/>
          <w:b/>
          <w:bCs/>
          <w:sz w:val="23"/>
          <w:szCs w:val="23"/>
        </w:rPr>
        <w:t>Total: 100%</w:t>
      </w:r>
    </w:p>
    <w:p w:rsidR="00885054" w:rsidRDefault="008E752F" w:rsidP="00885054">
      <w:pPr>
        <w:tabs>
          <w:tab w:val="left" w:pos="5845"/>
          <w:tab w:val="right" w:pos="9026"/>
        </w:tabs>
        <w:jc w:val="right"/>
        <w:rPr>
          <w:sz w:val="23"/>
          <w:szCs w:val="23"/>
          <w:rtl/>
        </w:rPr>
      </w:pPr>
      <w:r>
        <w:rPr>
          <w:b/>
          <w:bCs/>
          <w:sz w:val="23"/>
          <w:szCs w:val="23"/>
        </w:rPr>
        <w:t>Course Content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812"/>
        <w:gridCol w:w="1417"/>
      </w:tblGrid>
      <w:tr w:rsidR="00885054" w:rsidRPr="00603685" w:rsidTr="00885054">
        <w:trPr>
          <w:trHeight w:val="732"/>
        </w:trPr>
        <w:tc>
          <w:tcPr>
            <w:tcW w:w="1418" w:type="dxa"/>
            <w:shd w:val="clear" w:color="auto" w:fill="A6A6A6" w:themeFill="background1" w:themeFillShade="A6"/>
            <w:vAlign w:val="center"/>
          </w:tcPr>
          <w:p w:rsidR="00885054" w:rsidRPr="00603685" w:rsidRDefault="00885054" w:rsidP="000F3045">
            <w:pPr>
              <w:jc w:val="center"/>
              <w:rPr>
                <w:rFonts w:ascii="Arial" w:hAnsi="Arial" w:cs="Arial"/>
                <w:b/>
                <w:bCs/>
                <w:color w:val="000000"/>
              </w:rPr>
            </w:pPr>
            <w:r w:rsidRPr="00603685">
              <w:rPr>
                <w:rFonts w:ascii="Arial" w:hAnsi="Arial" w:cs="Arial"/>
                <w:b/>
                <w:bCs/>
                <w:color w:val="000000"/>
              </w:rPr>
              <w:t>Date</w:t>
            </w:r>
          </w:p>
          <w:p w:rsidR="00885054" w:rsidRPr="00603685" w:rsidRDefault="00885054" w:rsidP="000F3045">
            <w:pPr>
              <w:jc w:val="center"/>
              <w:rPr>
                <w:rFonts w:ascii="Arial" w:hAnsi="Arial" w:cs="Arial"/>
                <w:b/>
                <w:bCs/>
                <w:color w:val="000000"/>
              </w:rPr>
            </w:pPr>
            <w:r w:rsidRPr="00603685">
              <w:rPr>
                <w:rFonts w:ascii="Arial" w:hAnsi="Arial" w:cs="Arial"/>
                <w:b/>
                <w:bCs/>
                <w:color w:val="000000"/>
              </w:rPr>
              <w:t>(weeks)</w:t>
            </w:r>
          </w:p>
        </w:tc>
        <w:tc>
          <w:tcPr>
            <w:tcW w:w="5812" w:type="dxa"/>
            <w:shd w:val="clear" w:color="auto" w:fill="A6A6A6" w:themeFill="background1" w:themeFillShade="A6"/>
            <w:vAlign w:val="center"/>
          </w:tcPr>
          <w:p w:rsidR="00885054" w:rsidRPr="00603685" w:rsidRDefault="00885054" w:rsidP="000F3045">
            <w:pPr>
              <w:jc w:val="center"/>
              <w:rPr>
                <w:rFonts w:ascii="Arial" w:hAnsi="Arial" w:cs="Arial"/>
                <w:b/>
                <w:bCs/>
                <w:color w:val="000000"/>
              </w:rPr>
            </w:pPr>
            <w:r w:rsidRPr="00603685">
              <w:rPr>
                <w:rFonts w:ascii="Arial" w:hAnsi="Arial" w:cs="Arial"/>
                <w:b/>
                <w:bCs/>
                <w:color w:val="000000"/>
              </w:rPr>
              <w:t>Topic</w:t>
            </w:r>
          </w:p>
        </w:tc>
        <w:tc>
          <w:tcPr>
            <w:tcW w:w="1417" w:type="dxa"/>
            <w:shd w:val="clear" w:color="auto" w:fill="A6A6A6" w:themeFill="background1" w:themeFillShade="A6"/>
            <w:vAlign w:val="center"/>
          </w:tcPr>
          <w:p w:rsidR="00885054" w:rsidRPr="00603685" w:rsidRDefault="00885054" w:rsidP="000F3045">
            <w:pPr>
              <w:jc w:val="center"/>
              <w:rPr>
                <w:rFonts w:ascii="Arial" w:hAnsi="Arial" w:cs="Arial"/>
                <w:b/>
                <w:bCs/>
                <w:color w:val="000000"/>
              </w:rPr>
            </w:pPr>
            <w:r w:rsidRPr="00603685">
              <w:rPr>
                <w:rFonts w:ascii="Arial" w:hAnsi="Arial" w:cs="Arial"/>
                <w:b/>
                <w:bCs/>
                <w:color w:val="000000"/>
              </w:rPr>
              <w:t>Lecture (hours)</w:t>
            </w:r>
          </w:p>
        </w:tc>
      </w:tr>
      <w:tr w:rsidR="00885054" w:rsidRPr="00603685" w:rsidTr="00885054">
        <w:trPr>
          <w:trHeight w:val="533"/>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1</w:t>
            </w:r>
            <w:r w:rsidRPr="00603685">
              <w:rPr>
                <w:rFonts w:ascii="Arial" w:hAnsi="Arial" w:cs="Arial"/>
                <w:b/>
                <w:bCs/>
                <w:color w:val="000000"/>
                <w:vertAlign w:val="superscript"/>
              </w:rPr>
              <w:t>st</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Introduction and overview</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1305"/>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2</w:t>
            </w:r>
            <w:r w:rsidRPr="00603685">
              <w:rPr>
                <w:rFonts w:ascii="Arial" w:hAnsi="Arial" w:cs="Arial"/>
                <w:b/>
                <w:bCs/>
                <w:color w:val="000000"/>
                <w:vertAlign w:val="superscript"/>
              </w:rPr>
              <w:t>nd</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885054">
            <w:pPr>
              <w:numPr>
                <w:ilvl w:val="0"/>
                <w:numId w:val="1"/>
              </w:numPr>
              <w:bidi w:val="0"/>
              <w:spacing w:after="0" w:line="240" w:lineRule="auto"/>
              <w:ind w:left="189" w:hanging="189"/>
              <w:rPr>
                <w:rFonts w:ascii="Arial" w:hAnsi="Arial" w:cs="Arial"/>
                <w:color w:val="000000"/>
              </w:rPr>
            </w:pPr>
            <w:r w:rsidRPr="00603685">
              <w:rPr>
                <w:rFonts w:ascii="Arial" w:hAnsi="Arial" w:cs="Arial"/>
                <w:color w:val="000000"/>
              </w:rPr>
              <w:t>Overview on behavioral sciences and their contribution to health education</w:t>
            </w:r>
          </w:p>
          <w:p w:rsidR="00885054" w:rsidRPr="00603685" w:rsidRDefault="00885054" w:rsidP="00885054">
            <w:pPr>
              <w:numPr>
                <w:ilvl w:val="0"/>
                <w:numId w:val="1"/>
              </w:numPr>
              <w:bidi w:val="0"/>
              <w:spacing w:after="0" w:line="240" w:lineRule="auto"/>
              <w:ind w:left="189" w:hanging="189"/>
              <w:rPr>
                <w:rFonts w:ascii="Arial" w:hAnsi="Arial" w:cs="Arial"/>
                <w:color w:val="000000"/>
              </w:rPr>
            </w:pPr>
            <w:r w:rsidRPr="00603685">
              <w:rPr>
                <w:rFonts w:ascii="Arial" w:hAnsi="Arial" w:cs="Arial"/>
                <w:color w:val="000000"/>
              </w:rPr>
              <w:t>Community vs. society</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854"/>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3</w:t>
            </w:r>
            <w:r w:rsidRPr="00603685">
              <w:rPr>
                <w:rFonts w:ascii="Arial" w:hAnsi="Arial" w:cs="Arial"/>
                <w:b/>
                <w:bCs/>
                <w:color w:val="000000"/>
                <w:vertAlign w:val="superscript"/>
              </w:rPr>
              <w:t>rd</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885054">
            <w:pPr>
              <w:numPr>
                <w:ilvl w:val="0"/>
                <w:numId w:val="1"/>
              </w:numPr>
              <w:bidi w:val="0"/>
              <w:spacing w:after="0" w:line="240" w:lineRule="auto"/>
              <w:ind w:left="189" w:hanging="189"/>
              <w:rPr>
                <w:rFonts w:ascii="Arial" w:hAnsi="Arial" w:cs="Arial"/>
                <w:color w:val="000000"/>
              </w:rPr>
            </w:pPr>
            <w:r w:rsidRPr="00603685">
              <w:rPr>
                <w:rFonts w:ascii="Arial" w:hAnsi="Arial" w:cs="Arial"/>
                <w:color w:val="000000"/>
              </w:rPr>
              <w:t>Notions of health and illness</w:t>
            </w:r>
          </w:p>
          <w:p w:rsidR="00885054" w:rsidRPr="00603685" w:rsidRDefault="00885054" w:rsidP="00885054">
            <w:pPr>
              <w:numPr>
                <w:ilvl w:val="0"/>
                <w:numId w:val="1"/>
              </w:numPr>
              <w:bidi w:val="0"/>
              <w:spacing w:after="0" w:line="240" w:lineRule="auto"/>
              <w:ind w:left="189" w:hanging="189"/>
              <w:rPr>
                <w:rFonts w:ascii="Arial" w:hAnsi="Arial" w:cs="Arial"/>
                <w:color w:val="000000"/>
              </w:rPr>
            </w:pPr>
            <w:r w:rsidRPr="00603685">
              <w:rPr>
                <w:rFonts w:ascii="Arial" w:hAnsi="Arial" w:cs="Arial"/>
                <w:color w:val="000000"/>
              </w:rPr>
              <w:t>Social determinants of health</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822"/>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4</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885054">
            <w:pPr>
              <w:numPr>
                <w:ilvl w:val="0"/>
                <w:numId w:val="1"/>
              </w:numPr>
              <w:bidi w:val="0"/>
              <w:spacing w:after="0" w:line="240" w:lineRule="auto"/>
              <w:ind w:left="189" w:hanging="189"/>
              <w:rPr>
                <w:rFonts w:ascii="Arial" w:hAnsi="Arial" w:cs="Arial"/>
                <w:color w:val="000000"/>
              </w:rPr>
            </w:pPr>
            <w:r w:rsidRPr="00603685">
              <w:rPr>
                <w:rFonts w:ascii="Arial" w:hAnsi="Arial" w:cs="Arial"/>
                <w:color w:val="000000"/>
              </w:rPr>
              <w:t>Theories of disease causation</w:t>
            </w:r>
          </w:p>
          <w:p w:rsidR="00885054" w:rsidRPr="00603685" w:rsidRDefault="00885054" w:rsidP="00885054">
            <w:pPr>
              <w:numPr>
                <w:ilvl w:val="0"/>
                <w:numId w:val="1"/>
              </w:numPr>
              <w:bidi w:val="0"/>
              <w:spacing w:after="0" w:line="240" w:lineRule="auto"/>
              <w:ind w:left="189" w:hanging="189"/>
              <w:rPr>
                <w:rFonts w:ascii="Arial" w:hAnsi="Arial" w:cs="Arial"/>
                <w:color w:val="000000"/>
              </w:rPr>
            </w:pPr>
            <w:r w:rsidRPr="00603685">
              <w:rPr>
                <w:rFonts w:ascii="Arial" w:hAnsi="Arial" w:cs="Arial"/>
                <w:color w:val="000000"/>
              </w:rPr>
              <w:t>Theory of general susceptibility</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655"/>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5</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Social capital theory</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706"/>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lastRenderedPageBreak/>
              <w:t>6</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Midterm I</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702"/>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7</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Health inequalities and inequities</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557"/>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8</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Culture and health</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385"/>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9</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Social structure, socialization, leadership types, and social support</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605"/>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10</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Critical thinking</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556"/>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11</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 xml:space="preserve">Midterm II </w:t>
            </w:r>
          </w:p>
        </w:tc>
        <w:tc>
          <w:tcPr>
            <w:tcW w:w="1417" w:type="dxa"/>
            <w:shd w:val="clear" w:color="auto" w:fill="auto"/>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578"/>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12</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Globalization and health</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686"/>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13</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Quality of life</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697"/>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14</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Approaches to social change</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r w:rsidR="00885054" w:rsidRPr="00603685" w:rsidTr="00885054">
        <w:trPr>
          <w:trHeight w:val="706"/>
        </w:trPr>
        <w:tc>
          <w:tcPr>
            <w:tcW w:w="1418" w:type="dxa"/>
            <w:shd w:val="clear" w:color="auto" w:fill="BFBFBF" w:themeFill="background1" w:themeFillShade="BF"/>
            <w:vAlign w:val="center"/>
          </w:tcPr>
          <w:p w:rsidR="00885054" w:rsidRPr="00603685" w:rsidRDefault="00885054" w:rsidP="000F3045">
            <w:pPr>
              <w:ind w:left="-80" w:right="-56"/>
              <w:jc w:val="right"/>
              <w:rPr>
                <w:rFonts w:ascii="Arial" w:hAnsi="Arial" w:cs="Arial"/>
                <w:b/>
                <w:bCs/>
                <w:color w:val="000000"/>
              </w:rPr>
            </w:pPr>
            <w:r w:rsidRPr="00603685">
              <w:rPr>
                <w:rFonts w:ascii="Arial" w:hAnsi="Arial" w:cs="Arial"/>
                <w:b/>
                <w:bCs/>
                <w:color w:val="000000"/>
              </w:rPr>
              <w:t>15</w:t>
            </w:r>
            <w:r w:rsidRPr="00603685">
              <w:rPr>
                <w:rFonts w:ascii="Arial" w:hAnsi="Arial" w:cs="Arial"/>
                <w:b/>
                <w:bCs/>
                <w:color w:val="000000"/>
                <w:vertAlign w:val="superscript"/>
              </w:rPr>
              <w:t>th</w:t>
            </w:r>
            <w:r w:rsidRPr="00603685">
              <w:rPr>
                <w:rFonts w:ascii="Arial" w:hAnsi="Arial" w:cs="Arial"/>
                <w:b/>
                <w:bCs/>
                <w:color w:val="000000"/>
              </w:rPr>
              <w:t xml:space="preserve"> week</w:t>
            </w:r>
          </w:p>
        </w:tc>
        <w:tc>
          <w:tcPr>
            <w:tcW w:w="5812" w:type="dxa"/>
            <w:shd w:val="clear" w:color="auto" w:fill="auto"/>
            <w:vAlign w:val="center"/>
          </w:tcPr>
          <w:p w:rsidR="00885054" w:rsidRPr="00603685" w:rsidRDefault="00885054" w:rsidP="000F3045">
            <w:pPr>
              <w:jc w:val="right"/>
              <w:rPr>
                <w:rFonts w:ascii="Arial" w:hAnsi="Arial" w:cs="Arial"/>
                <w:color w:val="000000"/>
              </w:rPr>
            </w:pPr>
            <w:r w:rsidRPr="00603685">
              <w:rPr>
                <w:rFonts w:ascii="Arial" w:hAnsi="Arial" w:cs="Arial"/>
                <w:color w:val="000000"/>
              </w:rPr>
              <w:t>Revision</w:t>
            </w:r>
          </w:p>
        </w:tc>
        <w:tc>
          <w:tcPr>
            <w:tcW w:w="1417" w:type="dxa"/>
            <w:shd w:val="clear" w:color="auto" w:fill="auto"/>
            <w:vAlign w:val="center"/>
          </w:tcPr>
          <w:p w:rsidR="00885054" w:rsidRPr="00603685" w:rsidRDefault="00885054" w:rsidP="000F3045">
            <w:pPr>
              <w:jc w:val="center"/>
              <w:rPr>
                <w:rFonts w:ascii="Arial" w:eastAsia="Dotum" w:hAnsi="Arial" w:cs="Arial"/>
                <w:color w:val="000000"/>
                <w:lang w:bidi="ar-EG"/>
              </w:rPr>
            </w:pPr>
            <w:r w:rsidRPr="00603685">
              <w:rPr>
                <w:rFonts w:ascii="Arial" w:eastAsia="Dotum" w:hAnsi="Arial" w:cs="Arial"/>
                <w:color w:val="000000"/>
                <w:lang w:bidi="ar-EG"/>
              </w:rPr>
              <w:t>2</w:t>
            </w:r>
          </w:p>
        </w:tc>
      </w:tr>
    </w:tbl>
    <w:p w:rsidR="008E752F" w:rsidRPr="008E752F" w:rsidRDefault="008E752F" w:rsidP="008E752F">
      <w:pPr>
        <w:tabs>
          <w:tab w:val="left" w:pos="5845"/>
          <w:tab w:val="right" w:pos="9026"/>
        </w:tabs>
        <w:jc w:val="right"/>
        <w:rPr>
          <w:sz w:val="23"/>
          <w:szCs w:val="23"/>
          <w:rtl/>
        </w:rPr>
      </w:pPr>
    </w:p>
    <w:sectPr w:rsidR="008E752F" w:rsidRPr="008E752F" w:rsidSect="0072647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573D0"/>
    <w:multiLevelType w:val="hybridMultilevel"/>
    <w:tmpl w:val="675A6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52F"/>
    <w:rsid w:val="000E5A5D"/>
    <w:rsid w:val="00182F70"/>
    <w:rsid w:val="00394E9C"/>
    <w:rsid w:val="003E67BA"/>
    <w:rsid w:val="00467FBF"/>
    <w:rsid w:val="00492476"/>
    <w:rsid w:val="004B4B69"/>
    <w:rsid w:val="00542AE9"/>
    <w:rsid w:val="005839A5"/>
    <w:rsid w:val="0072647C"/>
    <w:rsid w:val="00770761"/>
    <w:rsid w:val="007B4560"/>
    <w:rsid w:val="00885054"/>
    <w:rsid w:val="008E752F"/>
    <w:rsid w:val="008F4C31"/>
    <w:rsid w:val="009F2F04"/>
    <w:rsid w:val="00A44561"/>
    <w:rsid w:val="00AA1CDB"/>
    <w:rsid w:val="00B75FD1"/>
    <w:rsid w:val="00D65695"/>
    <w:rsid w:val="00D92A4A"/>
    <w:rsid w:val="00DB1C4F"/>
    <w:rsid w:val="00EA474A"/>
    <w:rsid w:val="00FA1748"/>
    <w:rsid w:val="00FB7D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5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752F"/>
    <w:rPr>
      <w:color w:val="0000FF" w:themeColor="hyperlink"/>
      <w:u w:val="single"/>
    </w:rPr>
  </w:style>
  <w:style w:type="table" w:styleId="TableGrid">
    <w:name w:val="Table Grid"/>
    <w:basedOn w:val="TableNormal"/>
    <w:uiPriority w:val="59"/>
    <w:rsid w:val="008E7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marzooqi@ksu.edu.sa"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ksu</cp:lastModifiedBy>
  <cp:revision>2</cp:revision>
  <cp:lastPrinted>2011-03-04T13:58:00Z</cp:lastPrinted>
  <dcterms:created xsi:type="dcterms:W3CDTF">2012-01-16T09:59:00Z</dcterms:created>
  <dcterms:modified xsi:type="dcterms:W3CDTF">2012-01-16T09:59:00Z</dcterms:modified>
</cp:coreProperties>
</file>