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0F" w:rsidRPr="00F62997" w:rsidRDefault="00F8360F" w:rsidP="00F8360F">
      <w:pPr>
        <w:jc w:val="right"/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</w:pPr>
      <w:bookmarkStart w:id="0" w:name="_GoBack"/>
      <w:bookmarkEnd w:id="0"/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جامعة الملك سعود                                              </w:t>
      </w:r>
      <w:r w:rsidR="00F62997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  العام الجامعي 143</w:t>
      </w:r>
      <w:r w:rsidR="00D76984">
        <w:rPr>
          <w:rFonts w:asciiTheme="majorBidi" w:hAnsiTheme="majorBidi" w:cstheme="majorBidi" w:hint="cs"/>
          <w:b/>
          <w:bCs/>
          <w:sz w:val="30"/>
          <w:szCs w:val="30"/>
          <w:rtl/>
        </w:rPr>
        <w:t>9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>/14</w:t>
      </w:r>
      <w:r w:rsidR="00D76984">
        <w:rPr>
          <w:rFonts w:asciiTheme="majorBidi" w:hAnsiTheme="majorBidi" w:cstheme="majorBidi" w:hint="cs"/>
          <w:b/>
          <w:bCs/>
          <w:sz w:val="30"/>
          <w:szCs w:val="30"/>
          <w:rtl/>
        </w:rPr>
        <w:t>40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هـ</w:t>
      </w:r>
    </w:p>
    <w:p w:rsidR="00F8360F" w:rsidRPr="00F62997" w:rsidRDefault="00F8360F" w:rsidP="007945F7">
      <w:pPr>
        <w:jc w:val="right"/>
        <w:rPr>
          <w:rFonts w:asciiTheme="majorBidi" w:hAnsiTheme="majorBidi" w:cstheme="majorBidi"/>
          <w:sz w:val="30"/>
          <w:szCs w:val="30"/>
          <w:rtl/>
        </w:rPr>
      </w:pP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كلية إدارة </w:t>
      </w:r>
      <w:r w:rsidR="00DE1110" w:rsidRPr="00F62997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>الأعمال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– قسم المحاسبة                                           الفصل الدراسي </w:t>
      </w:r>
      <w:r w:rsidR="00D76984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>الأول</w:t>
      </w:r>
    </w:p>
    <w:p w:rsidR="00F8360F" w:rsidRPr="00F62997" w:rsidRDefault="00F8360F" w:rsidP="00F8360F">
      <w:pPr>
        <w:pStyle w:val="1"/>
        <w:rPr>
          <w:rFonts w:asciiTheme="majorBidi" w:hAnsiTheme="majorBidi" w:cstheme="majorBidi"/>
          <w:sz w:val="26"/>
          <w:szCs w:val="26"/>
          <w:rtl/>
        </w:rPr>
      </w:pPr>
    </w:p>
    <w:p w:rsidR="00F8360F" w:rsidRPr="00F62997" w:rsidRDefault="00F8360F" w:rsidP="00F8360F">
      <w:pPr>
        <w:pStyle w:val="1"/>
        <w:rPr>
          <w:rFonts w:asciiTheme="majorBidi" w:hAnsiTheme="majorBidi" w:cstheme="majorBidi"/>
          <w:sz w:val="28"/>
          <w:szCs w:val="28"/>
          <w:u w:val="none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>الخطة التدريسية لمقرر مبادئ المحاسبة والتقرير المالي (201 حسب)</w:t>
      </w:r>
      <w:r w:rsidRPr="00F62997">
        <w:rPr>
          <w:rFonts w:asciiTheme="majorBidi" w:hAnsiTheme="majorBidi" w:cstheme="majorBidi"/>
          <w:sz w:val="28"/>
          <w:szCs w:val="28"/>
          <w:u w:val="none"/>
          <w:rtl/>
        </w:rPr>
        <w:t xml:space="preserve"> </w:t>
      </w:r>
    </w:p>
    <w:p w:rsidR="00F8360F" w:rsidRPr="00F62997" w:rsidRDefault="00F8360F" w:rsidP="00F8360F">
      <w:pPr>
        <w:rPr>
          <w:rFonts w:asciiTheme="majorBidi" w:hAnsiTheme="majorBidi" w:cstheme="majorBidi"/>
          <w:rtl/>
          <w:lang w:eastAsia="ar-SA" w:bidi="ar-EG"/>
        </w:rPr>
      </w:pP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هدف المقرر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F8360F" w:rsidRPr="00F62997" w:rsidRDefault="00F8360F" w:rsidP="001F2182">
      <w:pPr>
        <w:bidi/>
        <w:ind w:left="180" w:hanging="1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 xml:space="preserve">   يهدف هذا المقرر إلى تعريف الطالب بالمحاسبة وأساسياتها وإجراءاتها مع التركيز على تعريف الطالب بالنظام المحاسبي وأساس</w:t>
      </w:r>
      <w:r w:rsidR="007945F7" w:rsidRPr="00F62997">
        <w:rPr>
          <w:rFonts w:asciiTheme="majorBidi" w:hAnsiTheme="majorBidi" w:cstheme="majorBidi"/>
          <w:sz w:val="28"/>
          <w:szCs w:val="28"/>
          <w:rtl/>
        </w:rPr>
        <w:t>يات المحاسبة المالية في المنشآت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الخدمية والتجارية بالإضافة إلى زيادة معرفة الطالب بمبادئ إعداد وتحليل التقارير المالية.</w:t>
      </w: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المرجع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F8360F" w:rsidRPr="001F2182" w:rsidRDefault="00F8360F" w:rsidP="0052458E">
      <w:pPr>
        <w:bidi/>
        <w:ind w:left="121"/>
        <w:jc w:val="both"/>
        <w:rPr>
          <w:rFonts w:asciiTheme="majorBidi" w:hAnsiTheme="majorBidi" w:cstheme="majorBidi"/>
          <w:sz w:val="28"/>
          <w:szCs w:val="28"/>
          <w:rtl/>
        </w:rPr>
      </w:pPr>
      <w:r w:rsidRPr="001F2182">
        <w:rPr>
          <w:rFonts w:asciiTheme="majorBidi" w:hAnsiTheme="majorBidi" w:cstheme="majorBidi"/>
          <w:sz w:val="28"/>
          <w:szCs w:val="28"/>
          <w:rtl/>
        </w:rPr>
        <w:t xml:space="preserve">جون جى وايلد، كين دابليو شاو، باربرا شيابيتا، ونستون كووك، "مبادئ المحاسبة المالية"، الطبعة </w:t>
      </w:r>
      <w:r w:rsidR="007945F7" w:rsidRPr="001F2182">
        <w:rPr>
          <w:rFonts w:asciiTheme="majorBidi" w:hAnsiTheme="majorBidi" w:cstheme="majorBidi"/>
          <w:sz w:val="28"/>
          <w:szCs w:val="28"/>
          <w:rtl/>
        </w:rPr>
        <w:t>2</w:t>
      </w:r>
      <w:r w:rsidRPr="001F2182">
        <w:rPr>
          <w:rFonts w:asciiTheme="majorBidi" w:hAnsiTheme="majorBidi" w:cstheme="majorBidi"/>
          <w:sz w:val="28"/>
          <w:szCs w:val="28"/>
          <w:rtl/>
        </w:rPr>
        <w:t>، عام 201</w:t>
      </w:r>
      <w:r w:rsidR="00DE1110" w:rsidRPr="001F2182">
        <w:rPr>
          <w:rFonts w:asciiTheme="majorBidi" w:hAnsiTheme="majorBidi" w:cstheme="majorBidi" w:hint="cs"/>
          <w:sz w:val="28"/>
          <w:szCs w:val="28"/>
          <w:rtl/>
        </w:rPr>
        <w:t>6</w:t>
      </w:r>
      <w:r w:rsidR="0052458E">
        <w:rPr>
          <w:rFonts w:asciiTheme="majorBidi" w:hAnsiTheme="majorBidi" w:cstheme="majorBidi"/>
          <w:sz w:val="28"/>
          <w:szCs w:val="28"/>
          <w:rtl/>
        </w:rPr>
        <w:t>م</w:t>
      </w:r>
      <w:r w:rsidR="0052458E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>متوفر لدى مركز بيع الكتب بجامعة الملك سعود (بتخفيض 50%)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،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2458E">
        <w:rPr>
          <w:rFonts w:asciiTheme="majorBidi" w:hAnsiTheme="majorBidi" w:cs="Times New Roman"/>
          <w:sz w:val="28"/>
          <w:szCs w:val="28"/>
          <w:rtl/>
        </w:rPr>
        <w:t>الجمعية السعودية للمحاسبة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، مكتبة العبيكان، ومكتبة جرير.</w:t>
      </w: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تقييم أداء الطلاب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 يتم تقييم أداء الطلاب على النحو التالي:</w:t>
      </w:r>
    </w:p>
    <w:p w:rsidR="00F8360F" w:rsidRPr="00F62997" w:rsidRDefault="00F8360F" w:rsidP="00F8360F">
      <w:pPr>
        <w:overflowPunct w:val="0"/>
        <w:autoSpaceDE w:val="0"/>
        <w:autoSpaceDN w:val="0"/>
        <w:bidi/>
        <w:adjustRightInd w:val="0"/>
        <w:spacing w:after="0" w:line="240" w:lineRule="auto"/>
        <w:ind w:left="12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51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108"/>
        <w:gridCol w:w="991"/>
        <w:gridCol w:w="808"/>
      </w:tblGrid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البيــــــــــــــــــــــــــــــــــــــــــــــــــــــــــــــــــــــــــــــــــــــــــــــــــان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Default="00F8360F" w:rsidP="00AC73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أولاً: اختباران فصليان </w:t>
            </w:r>
            <w:r w:rsidR="00AC73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  <w:p w:rsidR="00DA61F8" w:rsidRDefault="00DA61F8" w:rsidP="00AC73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الامتحان الأول : الخميس 2-2 الموافق 11-10 من الساعة12-1 من 12 درجة</w:t>
            </w:r>
            <w:r w:rsidR="00D500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يشمل الفص</w:t>
            </w:r>
            <w:r w:rsidR="004061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="00D500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 </w:t>
            </w:r>
            <w:r w:rsidR="00CE44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AC73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-2-3</w:t>
            </w:r>
            <w:r w:rsidR="00D500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A61F8" w:rsidRPr="00F62997" w:rsidRDefault="00DA61F8" w:rsidP="00DA61F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الامتحان الثالث : الأحد 10-3 الموافق 18-11 من الساعة 12-1 من 13 درجة </w:t>
            </w:r>
            <w:r w:rsidR="00CE44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 يشمل الفصول 6-7-8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:rsidTr="00593A97">
        <w:trPr>
          <w:trHeight w:val="674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71220B">
            <w:pPr>
              <w:bidi/>
              <w:ind w:left="546" w:hanging="54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ثانياً: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اختبار فصلي موحد: يوم الخميس 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30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02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/14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40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هـ</w:t>
            </w:r>
            <w:r w:rsidR="003A32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الموافق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08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11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/201</w:t>
            </w:r>
            <w:r w:rsidR="00815EF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8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 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من الساعة 3 مساءً وحتى 5 مساءً،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ويشمل من بداية الفصل الأول وحتى نهاية الفصل الخامس.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ind w:left="432" w:hanging="43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ثالثاً: الانتظام في حضور التمارين </w:t>
            </w:r>
            <w:r w:rsidR="00DA61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 الامتحانات القصيرة 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والالتزام </w:t>
            </w:r>
            <w:r w:rsidR="00DA6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بالمشاركة وحل التمارين المطلوبة</w:t>
            </w:r>
            <w:r w:rsidR="00DA61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علما بأنه سيؤخذ متوسط الامتحانات القصيرة و ليس على أستاذة التمارين اعادة الامتحان لأي طالبة متغيبة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10%</w:t>
            </w:r>
          </w:p>
        </w:tc>
      </w:tr>
      <w:tr w:rsidR="00F8360F" w:rsidRPr="00F62997" w:rsidTr="00593A97">
        <w:trPr>
          <w:trHeight w:val="353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037E15">
            <w:pPr>
              <w:bidi/>
              <w:ind w:left="601" w:hanging="60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رابعاً: اختبار نهائي موحد: 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يوم الخميس </w:t>
            </w:r>
            <w:r w:rsidR="00466B2C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06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/0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/14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40</w:t>
            </w:r>
            <w:r w:rsidR="00D76984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هـ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الموافق 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13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466B2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12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/201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8</w:t>
            </w:r>
            <w:r w:rsidR="00D76984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 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من الساعة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10:30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صباحاً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وحتى </w:t>
            </w:r>
            <w:r w:rsidR="00D7698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12:30</w:t>
            </w:r>
            <w:r w:rsidR="00D7698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مساءً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037E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ويشمل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كامل موضوعات المقرر.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40%</w:t>
            </w:r>
          </w:p>
        </w:tc>
      </w:tr>
    </w:tbl>
    <w:p w:rsidR="00F8360F" w:rsidRPr="00F62997" w:rsidRDefault="00F8360F" w:rsidP="00F8360F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8360F" w:rsidRPr="00F62997" w:rsidRDefault="00F8360F" w:rsidP="00AC73E2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61F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  <w:t>تنبيه مهم</w:t>
      </w:r>
      <w:r w:rsidRPr="00DA61F8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: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على جميع الط</w:t>
      </w:r>
      <w:r w:rsidR="00AC73E2">
        <w:rPr>
          <w:rFonts w:asciiTheme="majorBidi" w:hAnsiTheme="majorBidi" w:cstheme="majorBidi" w:hint="cs"/>
          <w:b/>
          <w:bCs/>
          <w:sz w:val="28"/>
          <w:szCs w:val="28"/>
          <w:rtl/>
        </w:rPr>
        <w:t>البات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الانتظام في حضور المحاضرات والتمارين، علماً بأن الطالب</w:t>
      </w:r>
      <w:r w:rsidR="00AC73E2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سوف </w:t>
      </w:r>
      <w:r w:rsidR="00AC73E2"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حرم من دخول الاختبار النهائي إذا بلغت نسبة الغياب عن المحاضرات 25% فأكثر، </w:t>
      </w:r>
      <w:r w:rsidRPr="00DA61F8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وغير مسموح بعقد اختبارات بديلة</w:t>
      </w:r>
      <w:r w:rsidR="00DA61F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ان عقد لعذر قاهر مصدق من شؤون الطالبات و بموافقة رئيس القسم سيشمل المنهج كاملا !</w:t>
      </w:r>
    </w:p>
    <w:p w:rsidR="00CD6CA4" w:rsidRPr="00F62997" w:rsidRDefault="00CD6CA4" w:rsidP="00CD6CA4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8360F" w:rsidRPr="00F62997" w:rsidRDefault="00F8360F" w:rsidP="00CD6CA4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tbl>
      <w:tblPr>
        <w:tblStyle w:val="a3"/>
        <w:tblpPr w:leftFromText="180" w:rightFromText="180" w:horzAnchor="margin" w:tblpXSpec="center" w:tblpY="-801"/>
        <w:tblW w:w="11808" w:type="dxa"/>
        <w:tblLayout w:type="fixed"/>
        <w:tblLook w:val="04A0" w:firstRow="1" w:lastRow="0" w:firstColumn="1" w:lastColumn="0" w:noHBand="0" w:noVBand="1"/>
      </w:tblPr>
      <w:tblGrid>
        <w:gridCol w:w="2250"/>
        <w:gridCol w:w="2758"/>
        <w:gridCol w:w="3092"/>
        <w:gridCol w:w="810"/>
        <w:gridCol w:w="2070"/>
        <w:gridCol w:w="828"/>
      </w:tblGrid>
      <w:tr w:rsidR="00CD6CA4" w:rsidRPr="00F62997" w:rsidTr="00CD6CA4">
        <w:trPr>
          <w:trHeight w:val="1413"/>
        </w:trPr>
        <w:tc>
          <w:tcPr>
            <w:tcW w:w="11808" w:type="dxa"/>
            <w:gridSpan w:val="6"/>
            <w:tcBorders>
              <w:top w:val="nil"/>
              <w:left w:val="nil"/>
              <w:right w:val="nil"/>
            </w:tcBorders>
          </w:tcPr>
          <w:p w:rsidR="00CD6CA4" w:rsidRPr="00F62997" w:rsidRDefault="00CD6CA4" w:rsidP="002E303D">
            <w:pPr>
              <w:numPr>
                <w:ilvl w:val="0"/>
                <w:numId w:val="1"/>
              </w:numPr>
              <w:tabs>
                <w:tab w:val="left" w:pos="435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65" w:firstLine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موضوعات المقرر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:rsidR="00CD6CA4" w:rsidRPr="00F62997" w:rsidRDefault="00CD6CA4" w:rsidP="00CD6CA4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D6CA4" w:rsidRPr="00612B23" w:rsidRDefault="00CD6CA4" w:rsidP="00747737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تتمثل موضوعات </w:t>
            </w:r>
            <w:r w:rsidR="007477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15A1"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(201 حسب)</w:t>
            </w:r>
            <w:r w:rsidR="00F115A1" w:rsidRPr="00F6299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سوف يتم تناولها فيما 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يلي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8360F" w:rsidRPr="00F62997" w:rsidTr="002E303D">
        <w:tc>
          <w:tcPr>
            <w:tcW w:w="225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</w:rPr>
              <w:lastRenderedPageBreak/>
              <w:br w:type="page"/>
            </w:r>
            <w:r w:rsidRPr="00F62997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2758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تمارين الفصل</w:t>
            </w:r>
            <w:r w:rsidR="00D30C8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المطلوبة</w:t>
            </w:r>
          </w:p>
        </w:tc>
        <w:tc>
          <w:tcPr>
            <w:tcW w:w="3092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الموضوعات التفصيلية</w:t>
            </w:r>
          </w:p>
        </w:tc>
        <w:tc>
          <w:tcPr>
            <w:tcW w:w="81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207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عنوان الفصل</w:t>
            </w:r>
          </w:p>
        </w:tc>
        <w:tc>
          <w:tcPr>
            <w:tcW w:w="828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</w:tr>
      <w:tr w:rsidR="00612B23" w:rsidRPr="00F62997" w:rsidTr="001F2182">
        <w:trPr>
          <w:trHeight w:val="5760"/>
        </w:trPr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*يتضمن جدول المعادلة المحاسبية خانة واحدة لرأس المال يظهر بها </w:t>
            </w:r>
            <w:r w:rsidR="002E303D" w:rsidRPr="00F62997">
              <w:rPr>
                <w:rFonts w:asciiTheme="majorBidi" w:hAnsiTheme="majorBidi" w:cstheme="majorBidi" w:hint="cs"/>
                <w:rtl/>
              </w:rPr>
              <w:t>أثر</w:t>
            </w:r>
            <w:r w:rsidRPr="00F62997">
              <w:rPr>
                <w:rFonts w:asciiTheme="majorBidi" w:hAnsiTheme="majorBidi" w:cstheme="majorBidi"/>
                <w:rtl/>
              </w:rPr>
              <w:t xml:space="preserve"> كل من الإيرادات، والمصروفات،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والاستثمارات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الإضافية، والمسحوبات.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12B23" w:rsidRPr="00F62997" w:rsidRDefault="00612B23" w:rsidP="008779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تتضمن القوائم المالية قائمة التدفقات النقدية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، يتم </w:t>
            </w:r>
            <w:r w:rsidR="008779AD" w:rsidRPr="00F62997">
              <w:rPr>
                <w:rFonts w:asciiTheme="majorBidi" w:hAnsiTheme="majorBidi" w:cstheme="majorBidi"/>
                <w:rtl/>
              </w:rPr>
              <w:t>تناوله</w:t>
            </w:r>
            <w:r w:rsidR="008779AD">
              <w:rPr>
                <w:rFonts w:asciiTheme="majorBidi" w:hAnsiTheme="majorBidi" w:cstheme="majorBidi" w:hint="cs"/>
                <w:rtl/>
              </w:rPr>
              <w:t>ا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>
              <w:rPr>
                <w:rFonts w:asciiTheme="majorBidi" w:hAnsiTheme="majorBidi" w:cstheme="majorBidi" w:hint="cs"/>
                <w:rtl/>
              </w:rPr>
              <w:t>بالتفصيل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8779AD">
              <w:rPr>
                <w:rFonts w:asciiTheme="majorBidi" w:hAnsiTheme="majorBidi" w:cstheme="majorBidi" w:hint="cs"/>
                <w:rtl/>
              </w:rPr>
              <w:t>317 حسب</w:t>
            </w:r>
            <w:r w:rsidR="008779AD"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31،30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1-6، 1-7، 1-8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تدريب 1-2، 1-3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1-6، 1-8 ص. 34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1-9، 1-10، 1-11، 1-12 ص 35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1-13، 1-14، 1-15، 1-16 ص 36 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6D07D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1-5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 w:rsidRPr="005A16C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39-40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1-5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42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ص 43-44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1- أهمية ومستخدمي المحاسبة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2- أساسيات المحاسبة.</w:t>
            </w:r>
          </w:p>
          <w:p w:rsidR="00612B23" w:rsidRPr="00306297" w:rsidRDefault="00612B23" w:rsidP="00612B23">
            <w:pPr>
              <w:spacing w:after="0" w:line="240" w:lineRule="auto"/>
              <w:ind w:left="545" w:hanging="36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3- أثر المعاملات على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المعادلة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المحاسبية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4- مثال شامل على المعادلة المحاسبية.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5- أنواع وأهداف القوائم المالية.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6- تمرين شامل على القوائم المالية.</w:t>
            </w:r>
            <w:r w:rsidRPr="0030629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الثان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Pr="00F62997">
              <w:rPr>
                <w:rFonts w:asciiTheme="majorBidi" w:hAnsiTheme="majorBidi" w:cstheme="majorBidi"/>
                <w:rtl/>
              </w:rPr>
              <w:t xml:space="preserve">محاسبة </w:t>
            </w:r>
            <w:r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 w:hint="cs"/>
                <w:rtl/>
              </w:rPr>
              <w:t>إدارة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الأعمال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الأول</w:t>
            </w: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*يتم تأجيل دراسة الأخطاء المؤثرة على ميزان المراجعة، وطرق علاجها.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77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2-1، 2-3، 2-4، 2-5، 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78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2-1، 2-2، 2-3، 2-4، 2-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2-6، 2-7، 2-8، 2-9، 2-10، 2-11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2-12، 2-13، 2-14، 2-15، 2-16 ص. 81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2-18، 2-19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مطلوب 2،1)،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85،84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مطلوب 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87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88 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عملية التحليل ودورة التسجيل المحاسبي.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دفتر اليومية العامة، ودليل الحسابات</w:t>
            </w:r>
          </w:p>
          <w:p w:rsidR="00612B23" w:rsidRPr="00306297" w:rsidRDefault="00612B23" w:rsidP="00747737">
            <w:pPr>
              <w:spacing w:after="0" w:line="240" w:lineRule="auto"/>
              <w:ind w:right="-15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الترحيل إلى دفاتر الأستاذ بنوعيه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إعداد ميزان المراجعة (من أرصدة دفاتر الأستاذ، ومن خلال أرصدة معطاه).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مثال شامل على التسجيل والترحيل. وميزان المراجعة مع وجود دليل الحسابات.</w:t>
            </w:r>
          </w:p>
          <w:p w:rsidR="00612B23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6- إعداد القوائم المالية من ميزان المراجعة.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تحليل المعاملات وتسجيلها</w:t>
            </w:r>
          </w:p>
        </w:tc>
        <w:tc>
          <w:tcPr>
            <w:tcW w:w="828" w:type="dxa"/>
          </w:tcPr>
          <w:p w:rsidR="00612B23" w:rsidRPr="00F62997" w:rsidRDefault="00747737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612B23" w:rsidRPr="00F62997" w:rsidTr="001F2182">
        <w:trPr>
          <w:trHeight w:val="5867"/>
        </w:trPr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>*لا تتضمن تسوية الحسابات تناول المعالجات البديلة للمصروفات المدفوعة مقدماً، والإيرادات المحصلة مقدماً.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118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3-2، 3-3،3-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3-1، 3-2، 3-3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3-5، 3-6، 3-7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125-126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127-128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128-129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3-3</w:t>
            </w:r>
            <w:r w:rsidRPr="0015433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132</w:t>
            </w:r>
          </w:p>
        </w:tc>
        <w:tc>
          <w:tcPr>
            <w:tcW w:w="3092" w:type="dxa"/>
          </w:tcPr>
          <w:p w:rsidR="00612B23" w:rsidRPr="00306297" w:rsidRDefault="00612B23" w:rsidP="001867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التوقيت وإعداد التقارير.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بعض أنواع تسوية الحسابات.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باقي أنواع تسوية الحسابات ومثال شامل.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ميزان المراجعة المعدل (بعد التسويات).</w:t>
            </w:r>
          </w:p>
          <w:p w:rsidR="00612B23" w:rsidRPr="00AD1422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إعداد القوائم المالية من ميزان المراجعة المعدل.</w:t>
            </w:r>
          </w:p>
        </w:tc>
        <w:tc>
          <w:tcPr>
            <w:tcW w:w="810" w:type="dxa"/>
          </w:tcPr>
          <w:p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الخامس</w:t>
            </w:r>
          </w:p>
          <w:p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السادس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تسوية الحسابات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الثالث</w:t>
            </w: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159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4-1، 4-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4-5، 4-6، 4-8، 4-9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161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4-3، 4-4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4-8، 4-9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164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4-10، 4-11، 4-12، 4-15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165-166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167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-170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170-171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 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174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إعداد ورقة العمل.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إجراء قيود الإقفال وميزان المراجعة بعد الإقفال.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مثال شامل على ورقة العمل وقيود الإقفال.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إكمال الدورة المحاسبية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الرابع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* لا يتم دراسة قيود التسوية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والإقفال</w:t>
            </w:r>
            <w:r w:rsidRPr="00F62997">
              <w:rPr>
                <w:rFonts w:asciiTheme="majorBidi" w:hAnsiTheme="majorBidi" w:cstheme="majorBidi"/>
                <w:rtl/>
              </w:rPr>
              <w:t xml:space="preserve"> والميزانية العمومية وورقة العمل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>
              <w:rPr>
                <w:rFonts w:asciiTheme="majorBidi" w:hAnsiTheme="majorBidi" w:cstheme="majorBidi" w:hint="cs"/>
                <w:rtl/>
              </w:rPr>
              <w:t>المنشأة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التجاري</w:t>
            </w:r>
            <w:r w:rsidR="00747737">
              <w:rPr>
                <w:rFonts w:asciiTheme="majorBidi" w:hAnsiTheme="majorBidi" w:cstheme="majorBidi" w:hint="cs"/>
                <w:rtl/>
              </w:rPr>
              <w:t>ة</w:t>
            </w:r>
            <w:r w:rsidRPr="00F62997">
              <w:rPr>
                <w:rFonts w:asciiTheme="majorBidi" w:hAnsiTheme="majorBidi" w:cstheme="majorBidi"/>
                <w:rtl/>
              </w:rPr>
              <w:t>.</w:t>
            </w:r>
          </w:p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الإشارة فقط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إلى</w:t>
            </w:r>
            <w:r w:rsidRPr="00F62997">
              <w:rPr>
                <w:rFonts w:asciiTheme="majorBidi" w:hAnsiTheme="majorBidi" w:cstheme="majorBidi"/>
                <w:rtl/>
              </w:rPr>
              <w:t xml:space="preserve"> نظام الجرد المستمر لأن تناوله </w:t>
            </w:r>
            <w:r w:rsidR="00747737">
              <w:rPr>
                <w:rFonts w:asciiTheme="majorBidi" w:hAnsiTheme="majorBidi" w:cstheme="majorBidi" w:hint="cs"/>
                <w:rtl/>
              </w:rPr>
              <w:t>بالتفصيل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747737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747737">
              <w:rPr>
                <w:rFonts w:asciiTheme="majorBidi" w:hAnsiTheme="majorBidi" w:cstheme="majorBidi" w:hint="cs"/>
                <w:rtl/>
              </w:rPr>
              <w:t>317 حسب</w:t>
            </w:r>
            <w:r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207-208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5-2ص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208-209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5-12، 5-13، 5-14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5-15، 5-16، 5-17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5-18، 5-19، 5-20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214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دوري)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214-215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دوري) ص217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8-219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:rsidR="00612B23" w:rsidRPr="00306297" w:rsidRDefault="00612B23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استعراض نظامي الجرد الدوري والمستمر.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قيود اليومية في ظل نظام الجرد الدوري. </w:t>
            </w:r>
          </w:p>
          <w:p w:rsidR="00612B23" w:rsidRPr="00306297" w:rsidRDefault="00747737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 قائمة الدخ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 في المنشأة التجارية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الثامن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العمليات التجارية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الخامس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التركيز على نظام الجرد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الدوري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المستمر 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طرق تقدير المخزون،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وطريقة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التكلفة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القيمة القابلة للتحقق أيهما أقل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 لا يتم تناول تأثير أخطاء الجرد على القوائم المالية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256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6-16، 6-17، 6-18، 6-19، 6-20، 6-21 ص 257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 258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6-11،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6-12، 6-13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259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6-14 ص. 260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262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263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265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74773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="00747737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أساسيات المخزون السلعي.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تحديد تكلفة المخزون</w:t>
            </w:r>
            <w:r w:rsidR="001F21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السلعي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ظل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استخدام نظام الجرد الدوري:</w:t>
            </w:r>
          </w:p>
          <w:p w:rsidR="00747737" w:rsidRDefault="00747737" w:rsidP="005F6C13">
            <w:pPr>
              <w:bidi/>
              <w:spacing w:after="0" w:line="240" w:lineRule="auto"/>
              <w:ind w:left="140" w:hanging="14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التعيين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لمحدد</w:t>
            </w:r>
            <w:r w:rsidR="005F6C1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(يتم التطرق  للجانب النظري فقط)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الوارد أولاً صادر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أولاً.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طريقة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الوارد أخيراً صادر أولاً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12B23" w:rsidRPr="0030629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1F2182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المتوسط المرجح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التاسع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المخزون وتكلفة المبيعات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السادس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نقطة التصرف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المقبوضات بالبيع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الرهن.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وفقاً للكتاب تقتصر معالجة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 على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الاحتفاظ</w:t>
            </w:r>
            <w:r w:rsidRPr="00F62997">
              <w:rPr>
                <w:rFonts w:asciiTheme="majorBidi" w:hAnsiTheme="majorBidi" w:cstheme="majorBidi"/>
                <w:rtl/>
              </w:rPr>
              <w:t xml:space="preserve"> بها حتى تاريخ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الاستحقاق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تناول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باقي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التصرفات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</w:t>
            </w:r>
            <w:r w:rsidR="00590217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-2، 7-3، 7-4،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7-5، 7-6، 7-8، 7-9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292</w:t>
            </w:r>
          </w:p>
          <w:p w:rsidR="00612B23" w:rsidRPr="000C3157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7-3، 7-4، 7-5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7-6، 7-7، 7-8، 7-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7-11، 7-12، 7-13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297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 298-300</w:t>
            </w: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تسجيل العمليات المتعلقة بالمدينين.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معالجة الديون المعدومة واستردادها – طريقة الشطب المباشر.</w:t>
            </w:r>
          </w:p>
          <w:p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التنبؤ بالديون المعدومة كنسبة من حسابات المديني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ن، وطريقة تقادم حسابات المدينين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طريقة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المخصص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أوراق القبض: احتساب الفوائد، وتاريخ الاستحقاق، وإجراء قيود اليومية.</w:t>
            </w:r>
          </w:p>
          <w:p w:rsidR="00612B23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مثال شامل عن تحصيل وعدم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تحصيل ورقة القبض خلال نفس السنة وفى سنة تالية. 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العاشر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المدينين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السابع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*لا يتم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دراسة الموضوعات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التالية لدراستها تفصيلاً في متوسطة (1):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-الاضمحلال في الأصول الثابتة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-تعديل الإهلاك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-الموارد الطبيعية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-الأصول غير الملموسة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330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8-3، 8-4، 8-6، 8-8، 8-9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8-2، 8-3، 8-4، 8-5، 8-6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8-7، 8-8، 8-9، 8-10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8-16، 8-17 (المطلوب 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338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340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BCA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احتساب تكلفة الممتلكات والمعدات والشراء بسعر موحد.</w:t>
            </w:r>
          </w:p>
          <w:p w:rsidR="00612B23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الإهلاك: القسط الثابت، وحدات الإنتاج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 و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طريقة القسط المتناقص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وكذلك 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قيد التسوية والأثر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على الميزانية العمومية.</w:t>
            </w:r>
          </w:p>
          <w:p w:rsidR="00612B23" w:rsidRPr="00306297" w:rsidRDefault="00175BCA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التصرف ف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ي الممتلكات والمعدات بالاستبعاد</w:t>
            </w:r>
            <w:r w:rsidR="00753B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أو بالبيع.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Pr="00306297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الثاني عشر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الأصول طويلة الأجل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الثامن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يتم تناول الالتزامات التالية: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الضمان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-حسابات الدائنين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-إيرادات غير مكتسبة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الرواتب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-ضمانات الدين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9-1، 9-4، تدريب 9-1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9-2، 9-4، 9-5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365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367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612B23" w:rsidRDefault="00612B23" w:rsidP="00F718BF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1-الالتزامات المعروفة: *ضرائب المبيعات المستحقة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*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الدفع قصيرة الأجل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  <w:p w:rsidR="00F718BF" w:rsidRPr="00F718BF" w:rsidRDefault="00F718BF" w:rsidP="00F718BF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2-الالتزامات المقدرة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  <w:rtl/>
              </w:rPr>
            </w:pPr>
          </w:p>
          <w:p w:rsidR="00612B23" w:rsidRPr="00F62997" w:rsidRDefault="00612B23" w:rsidP="00612B23">
            <w:pPr>
              <w:pStyle w:val="a4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3- الالتزامات المحتملة: </w:t>
            </w:r>
            <w:r w:rsidR="005F6C1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62997">
              <w:rPr>
                <w:rFonts w:asciiTheme="majorBidi" w:hAnsiTheme="majorBidi" w:cstheme="majorBidi"/>
                <w:rtl/>
              </w:rPr>
              <w:t>المطالبات القانونية المتوقعة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الالتزامات قصيرة الأجل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التاسع</w:t>
            </w:r>
          </w:p>
        </w:tc>
      </w:tr>
    </w:tbl>
    <w:p w:rsidR="005348C9" w:rsidRPr="00F62997" w:rsidRDefault="005348C9" w:rsidP="00CD6CA4">
      <w:pPr>
        <w:rPr>
          <w:rFonts w:asciiTheme="majorBidi" w:hAnsiTheme="majorBidi" w:cstheme="majorBidi"/>
        </w:rPr>
      </w:pPr>
    </w:p>
    <w:sectPr w:rsidR="005348C9" w:rsidRPr="00F62997" w:rsidSect="00865E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D1" w:rsidRDefault="000757D1" w:rsidP="0094079C">
      <w:pPr>
        <w:spacing w:after="0" w:line="240" w:lineRule="auto"/>
      </w:pPr>
      <w:r>
        <w:separator/>
      </w:r>
    </w:p>
  </w:endnote>
  <w:endnote w:type="continuationSeparator" w:id="0">
    <w:p w:rsidR="000757D1" w:rsidRDefault="000757D1" w:rsidP="009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10266"/>
      <w:docPartObj>
        <w:docPartGallery w:val="Page Numbers (Bottom of Page)"/>
        <w:docPartUnique/>
      </w:docPartObj>
    </w:sdtPr>
    <w:sdtEndPr/>
    <w:sdtContent>
      <w:p w:rsidR="0094079C" w:rsidRDefault="000816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0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079C" w:rsidRDefault="00940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D1" w:rsidRDefault="000757D1" w:rsidP="0094079C">
      <w:pPr>
        <w:spacing w:after="0" w:line="240" w:lineRule="auto"/>
      </w:pPr>
      <w:r>
        <w:separator/>
      </w:r>
    </w:p>
  </w:footnote>
  <w:footnote w:type="continuationSeparator" w:id="0">
    <w:p w:rsidR="000757D1" w:rsidRDefault="000757D1" w:rsidP="0094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E8"/>
    <w:multiLevelType w:val="hybridMultilevel"/>
    <w:tmpl w:val="C1DA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A"/>
    <w:rsid w:val="00033BA4"/>
    <w:rsid w:val="00037E15"/>
    <w:rsid w:val="000757D1"/>
    <w:rsid w:val="00081697"/>
    <w:rsid w:val="000C3151"/>
    <w:rsid w:val="001004D3"/>
    <w:rsid w:val="00127476"/>
    <w:rsid w:val="00165491"/>
    <w:rsid w:val="00175BCA"/>
    <w:rsid w:val="00186795"/>
    <w:rsid w:val="00195DCF"/>
    <w:rsid w:val="001D1BF9"/>
    <w:rsid w:val="001D697A"/>
    <w:rsid w:val="001F2182"/>
    <w:rsid w:val="001F5B83"/>
    <w:rsid w:val="002326A0"/>
    <w:rsid w:val="002514B1"/>
    <w:rsid w:val="002537F3"/>
    <w:rsid w:val="002A664F"/>
    <w:rsid w:val="002E303D"/>
    <w:rsid w:val="003422BD"/>
    <w:rsid w:val="003A32C9"/>
    <w:rsid w:val="003B117A"/>
    <w:rsid w:val="003B3EFE"/>
    <w:rsid w:val="003C766E"/>
    <w:rsid w:val="003E5FB6"/>
    <w:rsid w:val="00405B13"/>
    <w:rsid w:val="00406122"/>
    <w:rsid w:val="004171C6"/>
    <w:rsid w:val="00457A43"/>
    <w:rsid w:val="00466B2C"/>
    <w:rsid w:val="004901E0"/>
    <w:rsid w:val="0049452E"/>
    <w:rsid w:val="004A2F29"/>
    <w:rsid w:val="004A7CA6"/>
    <w:rsid w:val="0052458E"/>
    <w:rsid w:val="005348C9"/>
    <w:rsid w:val="00542725"/>
    <w:rsid w:val="00590217"/>
    <w:rsid w:val="00592CED"/>
    <w:rsid w:val="00593A97"/>
    <w:rsid w:val="00597845"/>
    <w:rsid w:val="005B6D3E"/>
    <w:rsid w:val="005C2B30"/>
    <w:rsid w:val="005C4137"/>
    <w:rsid w:val="005C42FA"/>
    <w:rsid w:val="005F6C13"/>
    <w:rsid w:val="0061108B"/>
    <w:rsid w:val="00612B23"/>
    <w:rsid w:val="00621FB8"/>
    <w:rsid w:val="00640C1F"/>
    <w:rsid w:val="00662A04"/>
    <w:rsid w:val="00692426"/>
    <w:rsid w:val="006A78ED"/>
    <w:rsid w:val="006D7E76"/>
    <w:rsid w:val="0071220B"/>
    <w:rsid w:val="00747737"/>
    <w:rsid w:val="00753B69"/>
    <w:rsid w:val="00763FB6"/>
    <w:rsid w:val="007647C9"/>
    <w:rsid w:val="007945F7"/>
    <w:rsid w:val="007C529A"/>
    <w:rsid w:val="00815EF3"/>
    <w:rsid w:val="00834047"/>
    <w:rsid w:val="008512B9"/>
    <w:rsid w:val="008779AD"/>
    <w:rsid w:val="00881097"/>
    <w:rsid w:val="0094079C"/>
    <w:rsid w:val="00952192"/>
    <w:rsid w:val="009A0E23"/>
    <w:rsid w:val="009B6F81"/>
    <w:rsid w:val="00A31309"/>
    <w:rsid w:val="00A36311"/>
    <w:rsid w:val="00A5366E"/>
    <w:rsid w:val="00A74FCA"/>
    <w:rsid w:val="00AC73E2"/>
    <w:rsid w:val="00AD62AC"/>
    <w:rsid w:val="00AE704E"/>
    <w:rsid w:val="00B24232"/>
    <w:rsid w:val="00B66EE7"/>
    <w:rsid w:val="00B70DF3"/>
    <w:rsid w:val="00B80923"/>
    <w:rsid w:val="00C044F4"/>
    <w:rsid w:val="00C0675E"/>
    <w:rsid w:val="00C862E4"/>
    <w:rsid w:val="00CA2E72"/>
    <w:rsid w:val="00CD6CA4"/>
    <w:rsid w:val="00CE44A8"/>
    <w:rsid w:val="00D135AD"/>
    <w:rsid w:val="00D30C8D"/>
    <w:rsid w:val="00D50086"/>
    <w:rsid w:val="00D51227"/>
    <w:rsid w:val="00D646D4"/>
    <w:rsid w:val="00D76984"/>
    <w:rsid w:val="00DA61F8"/>
    <w:rsid w:val="00DE1110"/>
    <w:rsid w:val="00E42043"/>
    <w:rsid w:val="00EA4AFE"/>
    <w:rsid w:val="00F115A1"/>
    <w:rsid w:val="00F62997"/>
    <w:rsid w:val="00F718BF"/>
    <w:rsid w:val="00F8360F"/>
    <w:rsid w:val="00F83D00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F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a3">
    <w:name w:val="Table Grid"/>
    <w:basedOn w:val="a1"/>
    <w:uiPriority w:val="59"/>
    <w:rsid w:val="00F8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60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94079C"/>
  </w:style>
  <w:style w:type="paragraph" w:styleId="a6">
    <w:name w:val="footer"/>
    <w:basedOn w:val="a"/>
    <w:link w:val="Char0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4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F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a3">
    <w:name w:val="Table Grid"/>
    <w:basedOn w:val="a1"/>
    <w:uiPriority w:val="59"/>
    <w:rsid w:val="00F8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60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94079C"/>
  </w:style>
  <w:style w:type="paragraph" w:styleId="a6">
    <w:name w:val="footer"/>
    <w:basedOn w:val="a"/>
    <w:link w:val="Char0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4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Hebatallah Ashraf</dc:creator>
  <cp:lastModifiedBy>adwa f</cp:lastModifiedBy>
  <cp:revision>2</cp:revision>
  <dcterms:created xsi:type="dcterms:W3CDTF">2018-09-10T12:16:00Z</dcterms:created>
  <dcterms:modified xsi:type="dcterms:W3CDTF">2018-09-10T12:16:00Z</dcterms:modified>
</cp:coreProperties>
</file>