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F" w:rsidRDefault="004607AF" w:rsidP="004607AF">
      <w:pPr>
        <w:jc w:val="right"/>
        <w:rPr>
          <w:rFonts w:ascii="Century Schoolbook" w:hAnsi="Century Schoolbook"/>
          <w:shadow/>
          <w:sz w:val="20"/>
          <w:szCs w:val="20"/>
        </w:rPr>
      </w:pPr>
      <w:r>
        <w:rPr>
          <w:rFonts w:ascii="Century Schoolbook" w:hAnsi="Century Schoolbook"/>
          <w:b/>
          <w:bCs/>
          <w:shadow/>
          <w:sz w:val="20"/>
          <w:szCs w:val="20"/>
        </w:rPr>
        <w:t>King Saud university</w:t>
      </w:r>
    </w:p>
    <w:p w:rsidR="004607AF" w:rsidRDefault="004607AF" w:rsidP="004607AF">
      <w:pPr>
        <w:tabs>
          <w:tab w:val="left" w:pos="975"/>
          <w:tab w:val="right" w:pos="8306"/>
        </w:tabs>
        <w:rPr>
          <w:rFonts w:ascii="Century Schoolbook" w:hAnsi="Century Schoolbook"/>
          <w:b/>
          <w:bCs/>
          <w:shadow/>
          <w:sz w:val="20"/>
          <w:szCs w:val="20"/>
        </w:rPr>
      </w:pPr>
      <w:r>
        <w:rPr>
          <w:rFonts w:ascii="Century Schoolbook" w:hAnsi="Century Schoolbook"/>
          <w:b/>
          <w:bCs/>
          <w:shadow/>
          <w:sz w:val="20"/>
          <w:szCs w:val="20"/>
        </w:rPr>
        <w:tab/>
      </w:r>
      <w:r>
        <w:rPr>
          <w:rFonts w:ascii="Century Schoolbook" w:hAnsi="Century Schoolbook"/>
          <w:b/>
          <w:bCs/>
          <w:shadow/>
          <w:sz w:val="20"/>
          <w:szCs w:val="20"/>
        </w:rPr>
        <w:tab/>
        <w:t>College of dentistry</w:t>
      </w:r>
    </w:p>
    <w:p w:rsidR="004607AF" w:rsidRDefault="004607AF" w:rsidP="004607AF">
      <w:pPr>
        <w:jc w:val="right"/>
        <w:rPr>
          <w:rFonts w:ascii="Century Schoolbook" w:hAnsi="Century Schoolbook"/>
          <w:b/>
          <w:bCs/>
          <w:shadow/>
          <w:sz w:val="20"/>
          <w:szCs w:val="20"/>
        </w:rPr>
      </w:pPr>
      <w:r>
        <w:rPr>
          <w:rFonts w:ascii="Century Schoolbook" w:hAnsi="Century Schoolbook"/>
          <w:b/>
          <w:bCs/>
          <w:shadow/>
          <w:sz w:val="20"/>
          <w:szCs w:val="20"/>
        </w:rPr>
        <w:t>341 DDS- Oral Diagnosis II</w:t>
      </w:r>
    </w:p>
    <w:p w:rsidR="004607AF" w:rsidRDefault="004607AF" w:rsidP="002B267F">
      <w:pPr>
        <w:jc w:val="right"/>
        <w:rPr>
          <w:rFonts w:ascii="Century Schoolbook" w:hAnsi="Century Schoolbook"/>
          <w:b/>
          <w:bCs/>
          <w:shadow/>
          <w:sz w:val="20"/>
          <w:szCs w:val="20"/>
        </w:rPr>
      </w:pPr>
      <w:r>
        <w:rPr>
          <w:rFonts w:ascii="Century Schoolbook" w:hAnsi="Century Schoolbook"/>
          <w:b/>
          <w:bCs/>
          <w:shadow/>
          <w:sz w:val="20"/>
          <w:szCs w:val="20"/>
        </w:rPr>
        <w:t>Lectures Schedule (</w:t>
      </w:r>
      <w:r w:rsidR="002B267F">
        <w:rPr>
          <w:rFonts w:ascii="Century Schoolbook" w:hAnsi="Century Schoolbook"/>
          <w:b/>
          <w:bCs/>
          <w:shadow/>
          <w:sz w:val="20"/>
          <w:szCs w:val="20"/>
        </w:rPr>
        <w:t>B</w:t>
      </w:r>
      <w:r>
        <w:rPr>
          <w:rFonts w:ascii="Century Schoolbook" w:hAnsi="Century Schoolbook"/>
          <w:b/>
          <w:bCs/>
          <w:shadow/>
          <w:sz w:val="20"/>
          <w:szCs w:val="20"/>
        </w:rPr>
        <w:t>UC)</w:t>
      </w:r>
    </w:p>
    <w:p w:rsidR="004607AF" w:rsidRDefault="004607AF" w:rsidP="002B267F">
      <w:pPr>
        <w:rPr>
          <w:rFonts w:ascii="Century Schoolbook" w:hAnsi="Century Schoolbook"/>
          <w:b/>
          <w:bCs/>
          <w:shadow/>
          <w:sz w:val="20"/>
          <w:szCs w:val="20"/>
        </w:rPr>
      </w:pPr>
      <w:r>
        <w:rPr>
          <w:rFonts w:ascii="Century Schoolbook" w:hAnsi="Century Schoolbook"/>
          <w:b/>
          <w:bCs/>
          <w:shadow/>
          <w:sz w:val="20"/>
          <w:szCs w:val="20"/>
        </w:rPr>
        <w:t xml:space="preserve">                                                                                                                    201</w:t>
      </w:r>
      <w:r w:rsidR="002B267F">
        <w:rPr>
          <w:rFonts w:ascii="Century Schoolbook" w:hAnsi="Century Schoolbook"/>
          <w:b/>
          <w:bCs/>
          <w:shadow/>
          <w:sz w:val="20"/>
          <w:szCs w:val="20"/>
        </w:rPr>
        <w:t>4</w:t>
      </w:r>
      <w:r>
        <w:rPr>
          <w:rFonts w:ascii="Century Schoolbook" w:hAnsi="Century Schoolbook"/>
          <w:b/>
          <w:bCs/>
          <w:shadow/>
          <w:sz w:val="20"/>
          <w:szCs w:val="20"/>
        </w:rPr>
        <w:t>- 201</w:t>
      </w:r>
      <w:r w:rsidR="002B267F">
        <w:rPr>
          <w:rFonts w:ascii="Century Schoolbook" w:hAnsi="Century Schoolbook"/>
          <w:b/>
          <w:bCs/>
          <w:shadow/>
          <w:sz w:val="20"/>
          <w:szCs w:val="20"/>
        </w:rPr>
        <w:t>5</w:t>
      </w:r>
    </w:p>
    <w:p w:rsidR="004607AF" w:rsidRDefault="004607AF" w:rsidP="004607AF">
      <w:pPr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Course Director: </w:t>
      </w:r>
      <w:r>
        <w:rPr>
          <w:rFonts w:ascii="Century Schoolbook" w:hAnsi="Century Schoolbook"/>
          <w:b/>
          <w:bCs/>
          <w:sz w:val="20"/>
          <w:szCs w:val="20"/>
        </w:rPr>
        <w:tab/>
        <w:t xml:space="preserve">     Prof.M.Hamam</w:t>
      </w:r>
    </w:p>
    <w:p w:rsidR="004607AF" w:rsidRDefault="004607AF" w:rsidP="002B267F">
      <w:pPr>
        <w:rPr>
          <w:rFonts w:ascii="Century Schoolbook" w:hAnsi="Century Schoolbook"/>
          <w:b/>
          <w:bCs/>
          <w:sz w:val="18"/>
          <w:szCs w:val="18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Course Contributors: </w:t>
      </w:r>
      <w:r w:rsidR="002B267F">
        <w:rPr>
          <w:rFonts w:ascii="Century Schoolbook" w:hAnsi="Century Schoolbook"/>
          <w:b/>
          <w:bCs/>
          <w:sz w:val="18"/>
          <w:szCs w:val="18"/>
        </w:rPr>
        <w:t>Dr. Ali  R</w:t>
      </w:r>
      <w:r>
        <w:rPr>
          <w:rFonts w:ascii="Century Schoolbook" w:hAnsi="Century Schoolbook"/>
          <w:b/>
          <w:bCs/>
          <w:sz w:val="18"/>
          <w:szCs w:val="18"/>
        </w:rPr>
        <w:t xml:space="preserve">efai- Dr.E.Elhadlq.Dr.K.Habib – Dr.H.Albageah  </w:t>
      </w:r>
    </w:p>
    <w:p w:rsidR="004607AF" w:rsidRDefault="004607AF" w:rsidP="00CA1D32">
      <w:pPr>
        <w:rPr>
          <w:rFonts w:ascii="Century Schoolbook" w:hAnsi="Century Schoolbook"/>
          <w:b/>
          <w:bCs/>
          <w:color w:val="FF0000"/>
        </w:rPr>
      </w:pPr>
      <w:r>
        <w:rPr>
          <w:rFonts w:ascii="Century Schoolbook" w:hAnsi="Century Schoolbook"/>
        </w:rPr>
        <w:t xml:space="preserve">                                         </w:t>
      </w:r>
      <w:r w:rsidR="00DD7F91">
        <w:rPr>
          <w:rFonts w:ascii="Century Schoolbook" w:hAnsi="Century Schoolbook"/>
          <w:b/>
          <w:bCs/>
          <w:color w:val="FF0000"/>
        </w:rPr>
        <w:t xml:space="preserve">Final </w:t>
      </w:r>
      <w:r w:rsidR="002B267F" w:rsidRPr="002B267F">
        <w:rPr>
          <w:rFonts w:ascii="Century Schoolbook" w:hAnsi="Century Schoolbook"/>
          <w:b/>
          <w:bCs/>
          <w:color w:val="FF0000"/>
        </w:rPr>
        <w:t xml:space="preserve"> </w:t>
      </w:r>
      <w:r w:rsidR="00CA1D32">
        <w:rPr>
          <w:rFonts w:ascii="Century Schoolbook" w:hAnsi="Century Schoolbook"/>
          <w:b/>
          <w:bCs/>
          <w:color w:val="FF0000"/>
        </w:rPr>
        <w:t>S</w:t>
      </w:r>
      <w:r w:rsidR="002B267F" w:rsidRPr="002B267F">
        <w:rPr>
          <w:rFonts w:ascii="Century Schoolbook" w:hAnsi="Century Schoolbook"/>
          <w:b/>
          <w:bCs/>
          <w:color w:val="FF0000"/>
        </w:rPr>
        <w:t>chedule</w:t>
      </w:r>
    </w:p>
    <w:tbl>
      <w:tblPr>
        <w:tblW w:w="0" w:type="auto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55"/>
        <w:gridCol w:w="1565"/>
        <w:gridCol w:w="5660"/>
        <w:gridCol w:w="2027"/>
      </w:tblGrid>
      <w:tr w:rsidR="004607AF" w:rsidTr="004607AF">
        <w:trPr>
          <w:trHeight w:val="53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pStyle w:val="Heading4"/>
              <w:spacing w:line="276" w:lineRule="auto"/>
              <w:jc w:val="center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pStyle w:val="Heading4"/>
              <w:spacing w:line="276" w:lineRule="auto"/>
              <w:jc w:val="center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SUBJECT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Lecturer</w:t>
            </w:r>
          </w:p>
        </w:tc>
      </w:tr>
      <w:tr w:rsidR="004607AF" w:rsidTr="004607AF">
        <w:trPr>
          <w:trHeight w:val="871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7AF" w:rsidRPr="001417CC" w:rsidRDefault="004607AF">
            <w:pPr>
              <w:spacing w:line="276" w:lineRule="auto"/>
              <w:rPr>
                <w:rFonts w:ascii="Century Schoolbook" w:hAnsi="Century Schoolbook"/>
              </w:rPr>
            </w:pPr>
            <w:r w:rsidRPr="001417CC">
              <w:rPr>
                <w:rFonts w:ascii="Century Schoolbook" w:hAnsi="Century Schoolbook"/>
              </w:rPr>
              <w:t>3/9/2014</w:t>
            </w: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----------------</w:t>
            </w: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10/9/2014</w:t>
            </w: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Introduction/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b/>
                <w:bCs/>
              </w:rPr>
              <w:t>Differential diagnosis</w:t>
            </w:r>
          </w:p>
          <w:p w:rsidR="004607AF" w:rsidRDefault="004607AF">
            <w:pPr>
              <w:pBdr>
                <w:bottom w:val="single" w:sz="6" w:space="1" w:color="auto"/>
              </w:pBdr>
              <w:spacing w:line="276" w:lineRule="auto"/>
              <w:ind w:left="57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14"/>
                <w:szCs w:val="20"/>
              </w:rPr>
              <w:t>Concepts of differential diagnosis, stages of differential diagnosis, features of normal tissue variations compared with abnormality. Coleman &amp; Nelson page 267-277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Prof.M.Hamam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</w:tr>
      <w:tr w:rsidR="004607AF" w:rsidTr="004607AF">
        <w:trPr>
          <w:trHeight w:val="70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</w:rPr>
              <w:t>White Lesions</w:t>
            </w: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</w:rPr>
              <w:t>I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Factors determining the colour of oral mucosa aetiology, clinical features, differential diagnosis, diagnosis and treatment of white lesions. Coleman &amp; Nelson page 278-299.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Prof.M.Hamam</w:t>
            </w:r>
          </w:p>
        </w:tc>
      </w:tr>
      <w:tr w:rsidR="004607AF" w:rsidTr="004607AF">
        <w:trPr>
          <w:trHeight w:val="70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17/9/2014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</w:rPr>
              <w:t>White Lesions</w:t>
            </w: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</w:rPr>
              <w:t>II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Factors determining the colour of oral mucosa aetiology, clinical features, differential diagnosis, diagnosis and treatment of white lesions. Coleman &amp; Nelson page 278-299.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Prof.M.Hamam</w:t>
            </w:r>
          </w:p>
        </w:tc>
      </w:tr>
      <w:tr w:rsidR="004607AF" w:rsidTr="004607AF">
        <w:trPr>
          <w:trHeight w:val="70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24/9/2014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Pr="00BB10B9" w:rsidRDefault="004607AF">
            <w:pPr>
              <w:spacing w:line="276" w:lineRule="auto"/>
              <w:jc w:val="both"/>
              <w:rPr>
                <w:rFonts w:ascii="Century Schoolbook" w:hAnsi="Century Schoolbook"/>
                <w:b/>
                <w:bCs/>
                <w:highlight w:val="magenta"/>
              </w:rPr>
            </w:pPr>
            <w:r w:rsidRPr="00BB10B9">
              <w:rPr>
                <w:rFonts w:ascii="Century Schoolbook" w:hAnsi="Century Schoolbook"/>
                <w:b/>
                <w:bCs/>
                <w:highlight w:val="magenta"/>
              </w:rPr>
              <w:t>Pigmented Lesions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sz w:val="20"/>
                <w:szCs w:val="20"/>
                <w:highlight w:val="yellow"/>
              </w:rPr>
            </w:pPr>
            <w:r w:rsidRPr="00BB10B9">
              <w:rPr>
                <w:rFonts w:ascii="Century Schoolbook" w:hAnsi="Century Schoolbook"/>
                <w:sz w:val="20"/>
                <w:szCs w:val="20"/>
                <w:highlight w:val="magenta"/>
              </w:rPr>
              <w:t>Why dark mucosal lesions look as such? aetiology, clinical features, differential diagnosis, diagnosis &amp; treatment of both focal &amp; diffuse multifocal pigmented lesions. Eversole page 44-54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BB10B9">
            <w:pPr>
              <w:spacing w:line="276" w:lineRule="auto"/>
              <w:jc w:val="both"/>
              <w:rPr>
                <w:rFonts w:ascii="Century Schoolbook" w:hAnsi="Century Schoolbook"/>
                <w:highlight w:val="yellow"/>
              </w:rPr>
            </w:pPr>
            <w:r>
              <w:rPr>
                <w:rFonts w:ascii="Century Schoolbook" w:hAnsi="Century Schoolbook"/>
                <w:highlight w:val="magenta"/>
              </w:rPr>
              <w:t>Dr.  Hamad</w:t>
            </w:r>
          </w:p>
        </w:tc>
      </w:tr>
      <w:tr w:rsidR="001349A1" w:rsidTr="001349A1">
        <w:trPr>
          <w:trHeight w:val="640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9A1" w:rsidRDefault="001349A1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9A1" w:rsidRDefault="001349A1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9A1" w:rsidRDefault="001349A1">
            <w:pPr>
              <w:spacing w:line="276" w:lineRule="auto"/>
              <w:ind w:left="57"/>
              <w:jc w:val="both"/>
              <w:rPr>
                <w:rFonts w:ascii="Century Schoolbook" w:hAnsi="Century Schoolbook"/>
                <w:b/>
                <w:bCs/>
                <w:highlight w:val="cyan"/>
              </w:rPr>
            </w:pPr>
            <w:r>
              <w:rPr>
                <w:rFonts w:ascii="Century Schoolbook" w:hAnsi="Century Schoolbook"/>
                <w:color w:val="FF0000"/>
                <w:sz w:val="32"/>
                <w:szCs w:val="32"/>
              </w:rPr>
              <w:t>Hajj  Break</w:t>
            </w:r>
            <w:r>
              <w:rPr>
                <w:rFonts w:ascii="Century Schoolbook" w:hAnsi="Century Schoolbook"/>
                <w:b/>
                <w:bCs/>
              </w:rPr>
              <w:t xml:space="preserve"> – ( 25/9/2014  -      12/10/2014)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9A1" w:rsidRDefault="001349A1">
            <w:pPr>
              <w:spacing w:line="276" w:lineRule="auto"/>
              <w:jc w:val="both"/>
              <w:rPr>
                <w:rFonts w:ascii="Century Schoolbook" w:hAnsi="Century Schoolbook"/>
                <w:highlight w:val="cyan"/>
              </w:rPr>
            </w:pPr>
          </w:p>
        </w:tc>
      </w:tr>
      <w:tr w:rsidR="004607AF" w:rsidTr="004607AF">
        <w:trPr>
          <w:trHeight w:val="1239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4A793C">
              <w:rPr>
                <w:rFonts w:ascii="Century Schoolbook" w:hAnsi="Century Schoolbook"/>
              </w:rPr>
              <w:t>5</w:t>
            </w:r>
            <w:r>
              <w:rPr>
                <w:rFonts w:ascii="Century Schoolbook" w:hAnsi="Century Schoolbook"/>
              </w:rPr>
              <w:t>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b/>
                <w:bCs/>
                <w:highlight w:val="cyan"/>
              </w:rPr>
            </w:pPr>
            <w:r>
              <w:rPr>
                <w:rFonts w:ascii="Century Schoolbook" w:hAnsi="Century Schoolbook"/>
                <w:b/>
                <w:bCs/>
                <w:highlight w:val="cyan"/>
              </w:rPr>
              <w:t>Red lesions I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cyan"/>
              </w:rPr>
              <w:t>Why some lesions are red or red-blue in color? aetiology, clinical features, differential diagnosis, diagnosis and treatment of  isolated red lesions  and diffuse red lesions. Eversole page 27-44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highlight w:val="cyan"/>
              </w:rPr>
              <w:t>Dr.K.Habib</w:t>
            </w:r>
          </w:p>
        </w:tc>
      </w:tr>
      <w:tr w:rsidR="004607AF" w:rsidTr="004607AF">
        <w:trPr>
          <w:trHeight w:val="68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b/>
                <w:bCs/>
                <w:color w:val="FF0000"/>
              </w:rPr>
              <w:t>1</w:t>
            </w:r>
            <w:r>
              <w:rPr>
                <w:rFonts w:ascii="Century Schoolbook" w:hAnsi="Century Schoolbook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ascii="Century Schoolbook" w:hAnsi="Century Schoolbook"/>
                <w:b/>
                <w:bCs/>
                <w:color w:val="FF0000"/>
              </w:rPr>
              <w:t xml:space="preserve">  Continues Assessment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color w:val="FF0000"/>
              </w:rPr>
              <w:t>+ ( CPC 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</w:tr>
      <w:tr w:rsidR="004607AF" w:rsidTr="004607AF">
        <w:trPr>
          <w:trHeight w:val="125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A793C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  <w:r w:rsidR="004607AF">
              <w:rPr>
                <w:rFonts w:ascii="Century Schoolbook" w:hAnsi="Century Schoolbook"/>
              </w:rPr>
              <w:t>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b/>
                <w:bCs/>
                <w:highlight w:val="cyan"/>
              </w:rPr>
            </w:pPr>
            <w:r>
              <w:rPr>
                <w:rFonts w:ascii="Century Schoolbook" w:hAnsi="Century Schoolbook"/>
                <w:b/>
                <w:bCs/>
                <w:highlight w:val="cyan"/>
              </w:rPr>
              <w:t>Red lesions II</w:t>
            </w:r>
          </w:p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sz w:val="20"/>
                <w:szCs w:val="20"/>
                <w:highlight w:val="cyan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cyan"/>
              </w:rPr>
              <w:t>Why some lesions are red or red-blue in color? aetiology, clinical features, differential diagnosis, diagnosis and treatment of  isolated red lesions  and diffuse red lesions. Eversole page 27-44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highlight w:val="cyan"/>
              </w:rPr>
              <w:t>Dr.K.Habib</w:t>
            </w:r>
          </w:p>
        </w:tc>
      </w:tr>
      <w:tr w:rsidR="004607AF" w:rsidTr="004607AF">
        <w:trPr>
          <w:trHeight w:val="97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 w:rsidP="004A793C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4A793C">
              <w:rPr>
                <w:rFonts w:ascii="Century Schoolbook" w:hAnsi="Century Schoolbook"/>
              </w:rPr>
              <w:t>9</w:t>
            </w:r>
            <w:r>
              <w:rPr>
                <w:rFonts w:ascii="Century Schoolbook" w:hAnsi="Century Schoolbook"/>
              </w:rPr>
              <w:t>/10/2013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ind w:left="57"/>
              <w:jc w:val="both"/>
              <w:rPr>
                <w:rFonts w:ascii="Century Schoolbook" w:hAnsi="Century Schoolbook"/>
                <w:b/>
                <w:bCs/>
                <w:highlight w:val="green"/>
              </w:rPr>
            </w:pPr>
            <w:r>
              <w:rPr>
                <w:rFonts w:ascii="Century Schoolbook" w:hAnsi="Century Schoolbook"/>
                <w:b/>
                <w:bCs/>
                <w:highlight w:val="green"/>
              </w:rPr>
              <w:t>Extra-oral swellings 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  <w:highlight w:val="green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green"/>
              </w:rPr>
              <w:t>General rules of diagnosis, differential diagnosis of swellings. Reference: Eversole 163-201.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green"/>
              </w:rPr>
            </w:pPr>
            <w:r>
              <w:rPr>
                <w:rFonts w:ascii="Century Schoolbook" w:hAnsi="Century Schoolbook"/>
                <w:highlight w:val="green"/>
              </w:rPr>
              <w:t>Dr.E.Elhadlq</w:t>
            </w:r>
          </w:p>
        </w:tc>
      </w:tr>
    </w:tbl>
    <w:p w:rsidR="004607AF" w:rsidRDefault="004607AF" w:rsidP="004607AF">
      <w:pPr>
        <w:jc w:val="center"/>
        <w:rPr>
          <w:rFonts w:ascii="Century Schoolbook" w:hAnsi="Century Schoolbook"/>
          <w:b/>
          <w:bCs/>
          <w:shadow/>
        </w:rPr>
      </w:pPr>
    </w:p>
    <w:p w:rsidR="004607AF" w:rsidRDefault="004607AF" w:rsidP="004607AF">
      <w:pPr>
        <w:jc w:val="center"/>
      </w:pPr>
    </w:p>
    <w:tbl>
      <w:tblPr>
        <w:tblW w:w="1177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25"/>
        <w:gridCol w:w="52"/>
        <w:gridCol w:w="1296"/>
        <w:gridCol w:w="6786"/>
        <w:gridCol w:w="3216"/>
      </w:tblGrid>
      <w:tr w:rsidR="004607AF" w:rsidTr="004607AF">
        <w:trPr>
          <w:trHeight w:val="535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pStyle w:val="Heading4"/>
              <w:spacing w:line="276" w:lineRule="auto"/>
              <w:rPr>
                <w:rFonts w:ascii="Century Schoolbook" w:hAnsi="Century Schoolbook"/>
                <w:b w:val="0"/>
                <w:bCs w:val="0"/>
                <w:sz w:val="22"/>
                <w:szCs w:val="22"/>
              </w:rPr>
            </w:pPr>
            <w:r>
              <w:rPr>
                <w:rFonts w:ascii="Century Schoolbook" w:hAnsi="Century Schoolbook"/>
                <w:b w:val="0"/>
                <w:bCs w:val="0"/>
                <w:sz w:val="22"/>
                <w:szCs w:val="22"/>
              </w:rPr>
              <w:t>W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pStyle w:val="Heading4"/>
              <w:spacing w:line="276" w:lineRule="auto"/>
              <w:ind w:left="-305" w:hanging="405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D</w:t>
            </w:r>
            <w:r>
              <w:rPr>
                <w:rFonts w:ascii="Century Schoolbook" w:hAnsi="Century Schoolbook"/>
                <w:b w:val="0"/>
                <w:bCs w:val="0"/>
                <w:sz w:val="22"/>
                <w:szCs w:val="22"/>
              </w:rPr>
              <w:t>ate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SUBJECT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Lecturer</w:t>
            </w:r>
          </w:p>
        </w:tc>
      </w:tr>
      <w:tr w:rsidR="004607AF" w:rsidTr="004607AF">
        <w:trPr>
          <w:trHeight w:val="915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Pr="002835B9" w:rsidRDefault="002835B9">
            <w:pPr>
              <w:spacing w:line="276" w:lineRule="auto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="004A793C" w:rsidRPr="004A793C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4A793C" w:rsidRPr="002835B9">
              <w:rPr>
                <w:rFonts w:ascii="Century Schoolbook" w:hAnsi="Century Schoolbook"/>
                <w:sz w:val="18"/>
                <w:szCs w:val="18"/>
              </w:rPr>
              <w:t>/ 11 / 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ind w:left="147"/>
              <w:jc w:val="both"/>
              <w:rPr>
                <w:rFonts w:ascii="Century Schoolbook" w:hAnsi="Century Schoolbook"/>
                <w:b/>
                <w:bCs/>
                <w:highlight w:val="green"/>
              </w:rPr>
            </w:pPr>
            <w:r>
              <w:rPr>
                <w:rFonts w:ascii="Century Schoolbook" w:hAnsi="Century Schoolbook"/>
                <w:b/>
                <w:bCs/>
                <w:highlight w:val="green"/>
              </w:rPr>
              <w:t>Extra-oral swellings II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green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green"/>
              </w:rPr>
              <w:t>General rules of diagnosis, differential diagnosis of swellings. Reference: Eversole 163-201.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green"/>
              </w:rPr>
            </w:pPr>
            <w:r>
              <w:rPr>
                <w:rFonts w:ascii="Century Schoolbook" w:hAnsi="Century Schoolbook"/>
                <w:highlight w:val="green"/>
              </w:rPr>
              <w:t>Dr.E.Elhadlq</w:t>
            </w:r>
          </w:p>
        </w:tc>
      </w:tr>
      <w:tr w:rsidR="004607AF" w:rsidTr="004607AF">
        <w:trPr>
          <w:trHeight w:val="702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 w:rsidP="002835B9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18"/>
              </w:rPr>
              <w:t>1</w:t>
            </w:r>
            <w:r w:rsidR="002835B9">
              <w:rPr>
                <w:rFonts w:ascii="Century Schoolbook" w:hAnsi="Century Schoolbook"/>
                <w:sz w:val="18"/>
              </w:rPr>
              <w:t>9</w:t>
            </w:r>
            <w:r>
              <w:rPr>
                <w:rFonts w:ascii="Century Schoolbook" w:hAnsi="Century Schoolbook"/>
                <w:sz w:val="18"/>
              </w:rPr>
              <w:t>/</w:t>
            </w:r>
            <w:r w:rsidR="002835B9">
              <w:rPr>
                <w:rFonts w:ascii="Century Schoolbook" w:hAnsi="Century Schoolbook"/>
                <w:sz w:val="18"/>
              </w:rPr>
              <w:t>11</w:t>
            </w:r>
            <w:r>
              <w:rPr>
                <w:rFonts w:ascii="Century Schoolbook" w:hAnsi="Century Schoolbook"/>
                <w:sz w:val="18"/>
              </w:rPr>
              <w:t>/2014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Pr="00BB10B9" w:rsidRDefault="004607AF">
            <w:pPr>
              <w:spacing w:line="276" w:lineRule="auto"/>
              <w:jc w:val="both"/>
              <w:rPr>
                <w:rFonts w:ascii="Century Schoolbook" w:hAnsi="Century Schoolbook"/>
                <w:b/>
                <w:bCs/>
              </w:rPr>
            </w:pPr>
            <w:r w:rsidRPr="00BB10B9">
              <w:rPr>
                <w:rFonts w:ascii="Century Schoolbook" w:hAnsi="Century Schoolbook"/>
                <w:b/>
                <w:bCs/>
              </w:rPr>
              <w:t>Intra-oral swellings 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  <w:highlight w:val="cyan"/>
              </w:rPr>
            </w:pPr>
            <w:r w:rsidRPr="00BB10B9">
              <w:rPr>
                <w:rFonts w:ascii="Century Schoolbook" w:hAnsi="Century Schoolbook"/>
                <w:sz w:val="20"/>
                <w:szCs w:val="20"/>
              </w:rPr>
              <w:t>General rules of diagnosis and differential diagnosis of intra-oral swellings and systemic manifestations. Reference: Eversole page 99-142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BB10B9">
            <w:pPr>
              <w:spacing w:line="276" w:lineRule="auto"/>
              <w:jc w:val="both"/>
              <w:rPr>
                <w:rFonts w:ascii="Century Schoolbook" w:hAnsi="Century Schoolbook"/>
                <w:highlight w:val="cyan"/>
              </w:rPr>
            </w:pPr>
            <w:r>
              <w:rPr>
                <w:rFonts w:ascii="Century Schoolbook" w:hAnsi="Century Schoolbook"/>
              </w:rPr>
              <w:t>Prof.Hamam</w:t>
            </w:r>
            <w:r w:rsidR="004607AF">
              <w:rPr>
                <w:rFonts w:ascii="Century Schoolbook" w:hAnsi="Century Schoolbook"/>
              </w:rPr>
              <w:t xml:space="preserve"> </w:t>
            </w:r>
          </w:p>
        </w:tc>
      </w:tr>
      <w:tr w:rsidR="004607AF" w:rsidTr="004607AF">
        <w:trPr>
          <w:trHeight w:val="982"/>
          <w:tblCellSpacing w:w="20" w:type="dxa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Pr="002835B9" w:rsidRDefault="004607AF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  <w:p w:rsidR="004607AF" w:rsidRDefault="002835B9" w:rsidP="002835B9">
            <w:pPr>
              <w:spacing w:line="276" w:lineRule="auto"/>
              <w:rPr>
                <w:rFonts w:ascii="Century Schoolbook" w:hAnsi="Century Schoolbook"/>
              </w:rPr>
            </w:pPr>
            <w:r w:rsidRPr="002835B9">
              <w:rPr>
                <w:rFonts w:ascii="Century Schoolbook" w:hAnsi="Century Schoolbook"/>
                <w:sz w:val="20"/>
                <w:szCs w:val="20"/>
              </w:rPr>
              <w:t>26</w:t>
            </w:r>
            <w:r w:rsidR="004607AF" w:rsidRPr="002835B9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2835B9">
              <w:rPr>
                <w:rFonts w:ascii="Century Schoolbook" w:hAnsi="Century Schoolbook"/>
                <w:sz w:val="20"/>
                <w:szCs w:val="20"/>
              </w:rPr>
              <w:t>11</w:t>
            </w:r>
            <w:r w:rsidR="004607AF" w:rsidRPr="002835B9">
              <w:rPr>
                <w:rFonts w:ascii="Century Schoolbook" w:hAnsi="Century Schoolbook"/>
                <w:sz w:val="20"/>
                <w:szCs w:val="20"/>
              </w:rPr>
              <w:t>/2014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Pr="00BB10B9" w:rsidRDefault="004607AF">
            <w:pPr>
              <w:spacing w:line="276" w:lineRule="auto"/>
              <w:jc w:val="both"/>
              <w:rPr>
                <w:rFonts w:ascii="Century Schoolbook" w:hAnsi="Century Schoolbook"/>
                <w:b/>
                <w:bCs/>
              </w:rPr>
            </w:pPr>
            <w:r w:rsidRPr="00BB10B9">
              <w:rPr>
                <w:rFonts w:ascii="Century Schoolbook" w:hAnsi="Century Schoolbook"/>
                <w:b/>
                <w:bCs/>
              </w:rPr>
              <w:t>Intra-oral swellings II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B10B9">
              <w:rPr>
                <w:rFonts w:ascii="Century Schoolbook" w:hAnsi="Century Schoolbook"/>
                <w:sz w:val="20"/>
                <w:szCs w:val="20"/>
              </w:rPr>
              <w:t>General rules of diagnosis and differential diagnosis of intra-oral swellings and systemic manifestations. Reference: Eversole page 99-</w:t>
            </w:r>
            <w:r>
              <w:rPr>
                <w:rFonts w:ascii="Century Schoolbook" w:hAnsi="Century Schoolbook"/>
                <w:sz w:val="20"/>
                <w:szCs w:val="20"/>
              </w:rPr>
              <w:t>142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BB10B9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</w:tc>
      </w:tr>
      <w:tr w:rsidR="004607AF" w:rsidTr="004607AF">
        <w:trPr>
          <w:trHeight w:val="45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1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AF" w:rsidRDefault="004607AF">
            <w:pPr>
              <w:spacing w:line="276" w:lineRule="auto"/>
              <w:ind w:left="-305" w:hanging="405"/>
              <w:jc w:val="center"/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b/>
                <w:bCs/>
                <w:color w:val="FF0000"/>
              </w:rPr>
              <w:t>2</w:t>
            </w:r>
            <w:r>
              <w:rPr>
                <w:rFonts w:ascii="Century Schoolbook" w:hAnsi="Century Schoolbook"/>
                <w:b/>
                <w:bCs/>
                <w:color w:val="FF0000"/>
                <w:vertAlign w:val="superscript"/>
              </w:rPr>
              <w:t>nd</w:t>
            </w:r>
            <w:r>
              <w:rPr>
                <w:rFonts w:ascii="Century Schoolbook" w:hAnsi="Century Schoolbook"/>
                <w:b/>
                <w:bCs/>
                <w:color w:val="FF0000"/>
              </w:rPr>
              <w:t xml:space="preserve">  Continues Assessment</w:t>
            </w:r>
            <w:r>
              <w:rPr>
                <w:rFonts w:ascii="Century Schoolbook" w:hAnsi="Century Schoolbook"/>
                <w:color w:val="FF0000"/>
              </w:rPr>
              <w:t>+(CPC)</w:t>
            </w:r>
          </w:p>
        </w:tc>
      </w:tr>
      <w:tr w:rsidR="004607AF" w:rsidTr="004607AF">
        <w:trPr>
          <w:trHeight w:val="911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Pr="002835B9" w:rsidRDefault="002835B9" w:rsidP="002835B9">
            <w:pPr>
              <w:spacing w:line="276" w:lineRule="auto"/>
              <w:rPr>
                <w:rFonts w:ascii="Century Schoolbook" w:hAnsi="Century Schoolbook"/>
              </w:rPr>
            </w:pPr>
            <w:r w:rsidRPr="002835B9">
              <w:rPr>
                <w:rFonts w:ascii="Century Schoolbook" w:hAnsi="Century Schoolbook"/>
                <w:sz w:val="22"/>
                <w:szCs w:val="22"/>
              </w:rPr>
              <w:t>3</w:t>
            </w:r>
            <w:r w:rsidR="004607AF" w:rsidRPr="002835B9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2835B9">
              <w:rPr>
                <w:rFonts w:ascii="Century Schoolbook" w:hAnsi="Century Schoolbook"/>
                <w:sz w:val="22"/>
                <w:szCs w:val="22"/>
              </w:rPr>
              <w:t>12</w:t>
            </w:r>
            <w:r w:rsidR="004607AF" w:rsidRPr="002835B9">
              <w:rPr>
                <w:rFonts w:ascii="Century Schoolbook" w:hAnsi="Century Schoolbook"/>
                <w:sz w:val="22"/>
                <w:szCs w:val="22"/>
              </w:rPr>
              <w:t>/2014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yellow"/>
              </w:rPr>
            </w:pPr>
            <w:r>
              <w:rPr>
                <w:rFonts w:ascii="Century Schoolbook" w:hAnsi="Century Schoolbook"/>
                <w:b/>
                <w:bCs/>
                <w:highlight w:val="yellow"/>
              </w:rPr>
              <w:t>Vesicular and bullous lesions 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  <w:highlight w:val="red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yellow"/>
              </w:rPr>
              <w:t>Definitions: vesicles, bullae, Classifications, specific lesions feature. Reference: Eversole page 81-97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red"/>
              </w:rPr>
            </w:pPr>
            <w:r>
              <w:rPr>
                <w:rFonts w:ascii="Century Schoolbook" w:hAnsi="Century Schoolbook"/>
                <w:highlight w:val="yellow"/>
              </w:rPr>
              <w:t>Dr.Ali Refi</w:t>
            </w:r>
          </w:p>
        </w:tc>
      </w:tr>
      <w:tr w:rsidR="004607AF" w:rsidTr="004607AF">
        <w:trPr>
          <w:trHeight w:val="884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Pr="002835B9" w:rsidRDefault="002835B9" w:rsidP="002835B9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2835B9">
              <w:rPr>
                <w:rFonts w:ascii="Century Schoolbook" w:hAnsi="Century Schoolbook"/>
                <w:sz w:val="20"/>
                <w:szCs w:val="20"/>
              </w:rPr>
              <w:t>10</w:t>
            </w:r>
            <w:r w:rsidR="004607AF" w:rsidRPr="002835B9">
              <w:rPr>
                <w:rFonts w:ascii="Century Schoolbook" w:hAnsi="Century Schoolbook"/>
                <w:sz w:val="20"/>
                <w:szCs w:val="20"/>
              </w:rPr>
              <w:t>/1</w:t>
            </w:r>
            <w:r w:rsidRPr="002835B9">
              <w:rPr>
                <w:rFonts w:ascii="Century Schoolbook" w:hAnsi="Century Schoolbook"/>
                <w:sz w:val="20"/>
                <w:szCs w:val="20"/>
              </w:rPr>
              <w:t>2</w:t>
            </w:r>
            <w:r w:rsidR="004607AF" w:rsidRPr="002835B9">
              <w:rPr>
                <w:rFonts w:ascii="Century Schoolbook" w:hAnsi="Century Schoolbook"/>
                <w:sz w:val="20"/>
                <w:szCs w:val="20"/>
              </w:rPr>
              <w:t>/2014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yellow"/>
              </w:rPr>
            </w:pPr>
            <w:r>
              <w:rPr>
                <w:rFonts w:ascii="Century Schoolbook" w:hAnsi="Century Schoolbook"/>
                <w:b/>
                <w:bCs/>
                <w:highlight w:val="yellow"/>
              </w:rPr>
              <w:t>Vesicular and bullous lesions II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0"/>
                <w:szCs w:val="20"/>
                <w:highlight w:val="red"/>
              </w:rPr>
            </w:pPr>
            <w:r>
              <w:rPr>
                <w:rFonts w:ascii="Century Schoolbook" w:hAnsi="Century Schoolbook"/>
                <w:sz w:val="20"/>
                <w:szCs w:val="20"/>
                <w:highlight w:val="yellow"/>
              </w:rPr>
              <w:t>Definitions: vesicles, bullae, Classifications, specific lesions feature. Reference: Eversole page 81-97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red"/>
              </w:rPr>
            </w:pPr>
            <w:r>
              <w:rPr>
                <w:rFonts w:ascii="Century Schoolbook" w:hAnsi="Century Schoolbook"/>
                <w:highlight w:val="yellow"/>
              </w:rPr>
              <w:t>Dr.Ali Refi</w:t>
            </w:r>
          </w:p>
        </w:tc>
      </w:tr>
      <w:tr w:rsidR="004607AF" w:rsidTr="004607AF">
        <w:trPr>
          <w:trHeight w:val="938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4607AF" w:rsidRDefault="004607AF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ind w:left="-305" w:hanging="405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  <w:r>
              <w:rPr>
                <w:rFonts w:ascii="Century Schoolbook" w:hAnsi="Century Schoolbook"/>
                <w:sz w:val="18"/>
              </w:rPr>
              <w:t>19/1</w:t>
            </w:r>
          </w:p>
          <w:p w:rsidR="004607AF" w:rsidRDefault="002835B9" w:rsidP="002835B9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17</w:t>
            </w:r>
            <w:r w:rsidR="004607AF">
              <w:rPr>
                <w:rFonts w:ascii="Century Schoolbook" w:hAnsi="Century Schoolbook"/>
                <w:sz w:val="20"/>
                <w:szCs w:val="20"/>
              </w:rPr>
              <w:t>/1</w:t>
            </w: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  <w:r w:rsidR="004607AF">
              <w:rPr>
                <w:rFonts w:ascii="Century Schoolbook" w:hAnsi="Century Schoolbook"/>
                <w:sz w:val="20"/>
                <w:szCs w:val="20"/>
              </w:rPr>
              <w:t>/2014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</w:rPr>
              <w:t>Oral ulcerative lesions</w:t>
            </w:r>
          </w:p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red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ulcer, important information, classification,Focal ulcerations, recurrent and multiple ulcerations, necrotic and osseous destructive lesions. Reference: Eversole page 57-79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highlight w:val="red"/>
              </w:rPr>
            </w:pPr>
            <w:r>
              <w:rPr>
                <w:rFonts w:ascii="Century Schoolbook" w:hAnsi="Century Schoolbook"/>
              </w:rPr>
              <w:t>Prof. Hamam</w:t>
            </w:r>
          </w:p>
        </w:tc>
      </w:tr>
      <w:tr w:rsidR="004607AF" w:rsidTr="004607AF">
        <w:trPr>
          <w:trHeight w:val="272"/>
          <w:tblCellSpacing w:w="2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14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2835B9" w:rsidP="002835B9">
            <w:pPr>
              <w:spacing w:line="276" w:lineRule="auto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>24</w:t>
            </w:r>
            <w:r w:rsidR="004607AF">
              <w:rPr>
                <w:rFonts w:ascii="Century Schoolbook" w:hAnsi="Century Schoolbook"/>
                <w:sz w:val="18"/>
              </w:rPr>
              <w:t>/12/201</w:t>
            </w:r>
            <w:r>
              <w:rPr>
                <w:rFonts w:ascii="Century Schoolbook" w:hAnsi="Century Schoolbook"/>
                <w:sz w:val="18"/>
              </w:rPr>
              <w:t>4</w:t>
            </w:r>
          </w:p>
          <w:p w:rsidR="004607AF" w:rsidRDefault="004607AF">
            <w:pPr>
              <w:spacing w:line="276" w:lineRule="auto"/>
              <w:ind w:left="-305" w:hanging="405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Revision                 </w:t>
            </w:r>
            <w:r>
              <w:rPr>
                <w:rFonts w:ascii="Century Schoolbook" w:hAnsi="Century Schoolbook"/>
                <w:b/>
                <w:bCs/>
                <w:color w:val="FF0000"/>
              </w:rPr>
              <w:t>(  CPC )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7AF" w:rsidRDefault="004607AF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</w:tr>
    </w:tbl>
    <w:p w:rsidR="00AB1CE5" w:rsidRDefault="00AB1CE5" w:rsidP="007F62D8">
      <w:pPr>
        <w:rPr>
          <w:rFonts w:ascii="Century Schoolbook" w:hAnsi="Century Schoolbook"/>
          <w:b/>
          <w:bCs/>
          <w:shadow/>
          <w:sz w:val="20"/>
        </w:rPr>
      </w:pPr>
    </w:p>
    <w:p w:rsidR="001B0A82" w:rsidRDefault="001B0A82" w:rsidP="007F62D8">
      <w:pPr>
        <w:rPr>
          <w:rFonts w:ascii="Century Schoolbook" w:hAnsi="Century Schoolbook"/>
          <w:b/>
          <w:bCs/>
          <w:shadow/>
          <w:sz w:val="20"/>
        </w:rPr>
      </w:pPr>
    </w:p>
    <w:p w:rsidR="001B0A82" w:rsidRDefault="001B0A82" w:rsidP="007F62D8">
      <w:pPr>
        <w:rPr>
          <w:rFonts w:ascii="Century Schoolbook" w:hAnsi="Century Schoolbook"/>
          <w:b/>
          <w:bCs/>
          <w:shadow/>
          <w:sz w:val="20"/>
        </w:rPr>
      </w:pPr>
    </w:p>
    <w:p w:rsidR="001B0A82" w:rsidRDefault="001B0A82" w:rsidP="007F62D8">
      <w:pPr>
        <w:rPr>
          <w:rFonts w:ascii="Century Schoolbook" w:hAnsi="Century Schoolbook"/>
          <w:b/>
          <w:bCs/>
          <w:shadow/>
          <w:sz w:val="20"/>
        </w:rPr>
      </w:pPr>
    </w:p>
    <w:p w:rsidR="00AB1CE5" w:rsidRDefault="00AB1CE5" w:rsidP="00AB1CE5">
      <w:pPr>
        <w:jc w:val="center"/>
        <w:rPr>
          <w:rFonts w:ascii="Century Schoolbook" w:hAnsi="Century Schoolbook"/>
          <w:shadow/>
          <w:sz w:val="20"/>
        </w:rPr>
      </w:pPr>
      <w:r>
        <w:rPr>
          <w:rFonts w:ascii="Century Schoolbook" w:hAnsi="Century Schoolbook"/>
          <w:b/>
          <w:bCs/>
          <w:shadow/>
          <w:sz w:val="20"/>
        </w:rPr>
        <w:lastRenderedPageBreak/>
        <w:t>King Saud University</w:t>
      </w:r>
    </w:p>
    <w:p w:rsidR="00AB1CE5" w:rsidRDefault="00AB1CE5" w:rsidP="00AB1CE5">
      <w:pPr>
        <w:jc w:val="center"/>
        <w:rPr>
          <w:rFonts w:ascii="Century Schoolbook" w:hAnsi="Century Schoolbook"/>
          <w:b/>
          <w:bCs/>
          <w:shadow/>
          <w:sz w:val="20"/>
        </w:rPr>
      </w:pPr>
      <w:r>
        <w:rPr>
          <w:rFonts w:ascii="Century Schoolbook" w:hAnsi="Century Schoolbook"/>
          <w:b/>
          <w:bCs/>
          <w:shadow/>
          <w:sz w:val="20"/>
        </w:rPr>
        <w:t>College of dentistry</w:t>
      </w:r>
    </w:p>
    <w:p w:rsidR="00AB1CE5" w:rsidRDefault="00AB1CE5" w:rsidP="00AB1CE5">
      <w:pPr>
        <w:jc w:val="center"/>
        <w:rPr>
          <w:rFonts w:ascii="Century Schoolbook" w:hAnsi="Century Schoolbook"/>
          <w:b/>
          <w:bCs/>
          <w:shadow/>
          <w:sz w:val="20"/>
        </w:rPr>
      </w:pPr>
      <w:r>
        <w:rPr>
          <w:rFonts w:ascii="Century Schoolbook" w:hAnsi="Century Schoolbook"/>
          <w:b/>
          <w:bCs/>
          <w:shadow/>
          <w:sz w:val="20"/>
        </w:rPr>
        <w:t>341 DDS- Oral Diagnoses II</w:t>
      </w:r>
    </w:p>
    <w:p w:rsidR="00870DE2" w:rsidRDefault="000C4CA4" w:rsidP="00870DE2">
      <w:pPr>
        <w:rPr>
          <w:rFonts w:ascii="Century Schoolbook" w:hAnsi="Century Schoolbook"/>
          <w:b/>
          <w:bCs/>
          <w:shadow/>
          <w:sz w:val="20"/>
        </w:rPr>
      </w:pPr>
      <w:r>
        <w:rPr>
          <w:rFonts w:ascii="Century Schoolbook" w:hAnsi="Century Schoolbook"/>
          <w:b/>
          <w:bCs/>
          <w:shadow/>
          <w:sz w:val="20"/>
        </w:rPr>
        <w:t xml:space="preserve">                                                              </w:t>
      </w:r>
      <w:r w:rsidR="00AB1CE5">
        <w:rPr>
          <w:rFonts w:ascii="Century Schoolbook" w:hAnsi="Century Schoolbook"/>
          <w:b/>
          <w:bCs/>
          <w:shadow/>
          <w:sz w:val="20"/>
        </w:rPr>
        <w:t>Clinic Schedule (BUC)</w:t>
      </w:r>
    </w:p>
    <w:p w:rsidR="00870DE2" w:rsidRDefault="00870DE2" w:rsidP="00870DE2">
      <w:pPr>
        <w:rPr>
          <w:rFonts w:ascii="Century Schoolbook" w:hAnsi="Century Schoolbook"/>
          <w:b/>
          <w:bCs/>
          <w:sz w:val="20"/>
          <w:szCs w:val="20"/>
        </w:rPr>
      </w:pPr>
      <w:r w:rsidRPr="00870DE2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Course Director: </w:t>
      </w:r>
      <w:r>
        <w:rPr>
          <w:rFonts w:ascii="Century Schoolbook" w:hAnsi="Century Schoolbook"/>
          <w:b/>
          <w:bCs/>
          <w:sz w:val="20"/>
          <w:szCs w:val="20"/>
        </w:rPr>
        <w:tab/>
        <w:t xml:space="preserve">     Prof.M.Hamam</w:t>
      </w:r>
    </w:p>
    <w:p w:rsidR="00AB1CE5" w:rsidRDefault="00870DE2" w:rsidP="00870DE2">
      <w:pPr>
        <w:jc w:val="center"/>
        <w:rPr>
          <w:rFonts w:ascii="Century Schoolbook" w:hAnsi="Century Schoolbook"/>
          <w:b/>
          <w:bCs/>
          <w:shadow/>
          <w:sz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Course Contributors:</w:t>
      </w:r>
      <w:r w:rsidR="00AE16FF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18"/>
          <w:szCs w:val="18"/>
        </w:rPr>
        <w:t>Dr. Ali  Refai- Dr.E.Elhadlq.</w:t>
      </w:r>
      <w:r w:rsidR="00AE16FF">
        <w:rPr>
          <w:rFonts w:ascii="Century Schoolbook" w:hAnsi="Century Schoolbook"/>
          <w:b/>
          <w:bCs/>
          <w:sz w:val="18"/>
          <w:szCs w:val="18"/>
        </w:rPr>
        <w:t xml:space="preserve">     Dr.K.Habib .  </w:t>
      </w:r>
      <w:r>
        <w:rPr>
          <w:rFonts w:ascii="Century Schoolbook" w:hAnsi="Century Schoolbook"/>
          <w:b/>
          <w:bCs/>
          <w:sz w:val="18"/>
          <w:szCs w:val="18"/>
        </w:rPr>
        <w:t xml:space="preserve"> Dr.H.Albageah</w:t>
      </w:r>
    </w:p>
    <w:p w:rsidR="00870DE2" w:rsidRDefault="00870DE2" w:rsidP="00AB1CE5">
      <w:pPr>
        <w:jc w:val="center"/>
        <w:rPr>
          <w:rFonts w:ascii="Century Schoolbook" w:hAnsi="Century Schoolbook"/>
          <w:b/>
          <w:bCs/>
          <w:shadow/>
          <w:sz w:val="20"/>
        </w:rPr>
      </w:pPr>
    </w:p>
    <w:p w:rsidR="00AB1CE5" w:rsidRDefault="00AB1CE5" w:rsidP="00870DE2">
      <w:pPr>
        <w:ind w:left="1440" w:firstLine="720"/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36"/>
        <w:gridCol w:w="1802"/>
        <w:gridCol w:w="2442"/>
        <w:gridCol w:w="4406"/>
      </w:tblGrid>
      <w:tr w:rsidR="00AB1CE5" w:rsidTr="00CF5112">
        <w:trPr>
          <w:trHeight w:val="311"/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WK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Date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Clinic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Faculty</w:t>
            </w:r>
          </w:p>
        </w:tc>
      </w:tr>
      <w:tr w:rsidR="00AB1CE5" w:rsidTr="00CF5112">
        <w:trPr>
          <w:trHeight w:val="1187"/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3/9/2014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Cases Study/Gp.A &amp; /GpB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highlight w:val="yellow"/>
              </w:rPr>
              <w:t>No  CLINIC</w:t>
            </w:r>
          </w:p>
        </w:tc>
      </w:tr>
      <w:tr w:rsidR="00AB1CE5" w:rsidTr="00CF5112">
        <w:trPr>
          <w:trHeight w:val="670"/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10/9/2014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 w:rsidP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Study/GpA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Exam/GpB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 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rHeight w:val="730"/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17/9/2014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Case Study/ Gp B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PatientExam/Gp A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24/9/2014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 A</w:t>
            </w:r>
          </w:p>
          <w:p w:rsidR="00AB1CE5" w:rsidRDefault="00CF5112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</w:t>
            </w:r>
            <w:r w:rsidR="00AB1CE5">
              <w:rPr>
                <w:rFonts w:ascii="Century Schoolbook" w:hAnsi="Century Schoolbook"/>
              </w:rPr>
              <w:t>Exam/Gp B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Prof.Hamam 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761D36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36" w:rsidRDefault="00761D36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D36" w:rsidRDefault="00761D36" w:rsidP="004C0A77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FF0000"/>
                <w:sz w:val="32"/>
                <w:szCs w:val="32"/>
              </w:rPr>
              <w:t>Hajj  Break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36" w:rsidRDefault="00761D36" w:rsidP="00761D3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   (  25/9/2014  -    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36" w:rsidRDefault="00761D36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</w:rPr>
              <w:t>12/10/2014)</w:t>
            </w:r>
          </w:p>
        </w:tc>
      </w:tr>
      <w:tr w:rsidR="00AB1CE5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4C0A77" w:rsidP="004C0A77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BE6806">
              <w:rPr>
                <w:rFonts w:ascii="Century Schoolbook" w:hAnsi="Century Schoolbook"/>
              </w:rPr>
              <w:t>5</w:t>
            </w:r>
            <w:r w:rsidR="00AB1CE5">
              <w:rPr>
                <w:rFonts w:ascii="Century Schoolbook" w:hAnsi="Century Schoolbook"/>
              </w:rPr>
              <w:t>/10/201</w:t>
            </w:r>
            <w:r>
              <w:rPr>
                <w:rFonts w:ascii="Century Schoolbook" w:hAnsi="Century Schoolbook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Study/GpB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Exam/GpA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4C0A77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  <w:r w:rsidR="00AB1CE5">
              <w:rPr>
                <w:rFonts w:ascii="Century Schoolbook" w:hAnsi="Century Schoolbook"/>
              </w:rPr>
              <w:t>/10/201</w:t>
            </w:r>
            <w:r w:rsidR="004C0A77">
              <w:rPr>
                <w:rFonts w:ascii="Century Schoolbook" w:hAnsi="Century Schoolbook"/>
              </w:rPr>
              <w:t>4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Study/GpA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Exam/GpB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A82" w:rsidRDefault="001B0A82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 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7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</w:t>
            </w:r>
            <w:r w:rsidR="00AB1CE5">
              <w:rPr>
                <w:rFonts w:ascii="Century Schoolbook" w:hAnsi="Century Schoolbook"/>
              </w:rPr>
              <w:t>/10/201</w:t>
            </w:r>
            <w:r>
              <w:rPr>
                <w:rFonts w:ascii="Century Schoolbook" w:hAnsi="Century Schoolbook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596" w:rsidRDefault="00AB1CE5" w:rsidP="006B259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  <w:r w:rsidR="006B2596">
              <w:rPr>
                <w:rFonts w:ascii="Century Schoolbook" w:hAnsi="Century Schoolbook"/>
              </w:rPr>
              <w:t>Case Study/GpB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6B2596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 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 w:rsidP="006B2596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ind w:left="-305" w:hanging="405"/>
              <w:jc w:val="both"/>
              <w:rPr>
                <w:rFonts w:ascii="Century Schoolbook" w:hAnsi="Century Schoolbook"/>
              </w:rPr>
            </w:pPr>
          </w:p>
          <w:p w:rsidR="00AB1CE5" w:rsidRPr="00BE6806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5</w:t>
            </w:r>
            <w:r w:rsidR="00AB1CE5" w:rsidRPr="00BE6806">
              <w:rPr>
                <w:rFonts w:ascii="Century Schoolbook" w:hAnsi="Century Schoolbook"/>
                <w:sz w:val="22"/>
                <w:szCs w:val="22"/>
              </w:rPr>
              <w:t>/1</w:t>
            </w: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  <w:r w:rsidR="00AB1CE5" w:rsidRPr="00BE6806">
              <w:rPr>
                <w:rFonts w:ascii="Century Schoolbook" w:hAnsi="Century Schoolbook"/>
                <w:sz w:val="22"/>
                <w:szCs w:val="22"/>
              </w:rPr>
              <w:t>/201</w:t>
            </w: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Exam/GpB</w:t>
            </w:r>
          </w:p>
          <w:p w:rsidR="00AB1CE5" w:rsidRDefault="00AB1CE5" w:rsidP="007748DB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6B2596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 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 w:rsidP="006B2596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CF5112">
        <w:trPr>
          <w:trHeight w:val="1029"/>
          <w:tblCellSpacing w:w="2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>12</w:t>
            </w:r>
            <w:r w:rsidR="00AB1CE5">
              <w:rPr>
                <w:rFonts w:ascii="Century Schoolbook" w:hAnsi="Century Schoolbook"/>
                <w:sz w:val="18"/>
              </w:rPr>
              <w:t>/11/201</w:t>
            </w:r>
            <w:r>
              <w:rPr>
                <w:rFonts w:ascii="Century Schoolbook" w:hAnsi="Century Schoolbook"/>
                <w:sz w:val="18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8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8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8"/>
              </w:rPr>
            </w:pPr>
          </w:p>
          <w:p w:rsidR="00AB1CE5" w:rsidRDefault="00AB1CE5" w:rsidP="00BE6806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7748DB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</w:t>
            </w:r>
            <w:r w:rsidR="007748DB">
              <w:rPr>
                <w:rFonts w:ascii="Century Schoolbook" w:hAnsi="Century Schoolbook"/>
              </w:rPr>
              <w:t>B</w:t>
            </w:r>
          </w:p>
          <w:p w:rsidR="00AB1CE5" w:rsidRDefault="00AB1CE5" w:rsidP="007748DB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</w:t>
            </w:r>
            <w:r w:rsidR="007748DB">
              <w:rPr>
                <w:rFonts w:ascii="Century Schoolbook" w:hAnsi="Century Schoolbook"/>
              </w:rPr>
              <w:t>A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  <w:szCs w:val="16"/>
              </w:rPr>
            </w:pPr>
          </w:p>
          <w:p w:rsidR="00AB1CE5" w:rsidRDefault="00AB1CE5" w:rsidP="007748DB">
            <w:pPr>
              <w:spacing w:line="276" w:lineRule="auto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 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 w:rsidP="00B8576C">
            <w:pPr>
              <w:spacing w:line="276" w:lineRule="auto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AB1CE5" w:rsidRDefault="00AB1CE5" w:rsidP="00AB1CE5"/>
    <w:p w:rsidR="00AB1CE5" w:rsidRDefault="00AB1CE5" w:rsidP="00AB1CE5"/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823"/>
        <w:gridCol w:w="1670"/>
        <w:gridCol w:w="2510"/>
        <w:gridCol w:w="4683"/>
      </w:tblGrid>
      <w:tr w:rsidR="00AB1CE5" w:rsidTr="001B0A82">
        <w:trPr>
          <w:trHeight w:val="311"/>
          <w:tblCellSpacing w:w="2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WK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Date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Clinic</w:t>
            </w: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Faculty</w:t>
            </w:r>
          </w:p>
        </w:tc>
      </w:tr>
      <w:tr w:rsidR="00AB1CE5" w:rsidTr="001B0A82">
        <w:trPr>
          <w:tblCellSpacing w:w="2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Pr="00B8576C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 w:rsidRPr="00B8576C">
              <w:rPr>
                <w:rFonts w:ascii="Century Schoolbook" w:hAnsi="Century Schoolbook"/>
              </w:rPr>
              <w:t>3</w:t>
            </w:r>
            <w:r w:rsidR="00AB1CE5" w:rsidRPr="00B8576C">
              <w:rPr>
                <w:rFonts w:ascii="Century Schoolbook" w:hAnsi="Century Schoolbook"/>
              </w:rPr>
              <w:t>/1</w:t>
            </w:r>
            <w:r w:rsidRPr="00B8576C">
              <w:rPr>
                <w:rFonts w:ascii="Century Schoolbook" w:hAnsi="Century Schoolbook"/>
              </w:rPr>
              <w:t>2</w:t>
            </w:r>
            <w:r w:rsidR="00AB1CE5" w:rsidRPr="00B8576C">
              <w:rPr>
                <w:rFonts w:ascii="Century Schoolbook" w:hAnsi="Century Schoolbook"/>
              </w:rPr>
              <w:t>/201</w:t>
            </w:r>
            <w:r w:rsidRPr="00B8576C">
              <w:rPr>
                <w:rFonts w:ascii="Century Schoolbook" w:hAnsi="Century Schoolbook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B8576C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</w:t>
            </w:r>
            <w:r w:rsidR="00B8576C">
              <w:rPr>
                <w:rFonts w:ascii="Century Schoolbook" w:hAnsi="Century Schoolbook"/>
              </w:rPr>
              <w:t>B</w:t>
            </w:r>
          </w:p>
          <w:p w:rsidR="00AB1CE5" w:rsidRDefault="00AB1CE5" w:rsidP="00B8576C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</w:t>
            </w:r>
            <w:r w:rsidR="00B8576C">
              <w:rPr>
                <w:rFonts w:ascii="Century Schoolbook" w:hAnsi="Century Schoolbook"/>
              </w:rPr>
              <w:t>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  <w:highlight w:val="cyan"/>
              </w:rPr>
            </w:pP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pStyle w:val="BodyText3"/>
              <w:spacing w:line="276" w:lineRule="auto"/>
              <w:jc w:val="left"/>
              <w:rPr>
                <w:rFonts w:ascii="Century Schoolbook" w:hAnsi="Century Schoolbook"/>
                <w:highlight w:val="cyan"/>
              </w:rPr>
            </w:pPr>
          </w:p>
          <w:p w:rsidR="00AB1CE5" w:rsidRDefault="00AB1CE5" w:rsidP="00B8576C">
            <w:pPr>
              <w:spacing w:line="276" w:lineRule="auto"/>
              <w:rPr>
                <w:rFonts w:ascii="Century Schoolbook" w:hAnsi="Century Schoolbook"/>
                <w:highlight w:val="cyan"/>
              </w:rPr>
            </w:pPr>
          </w:p>
        </w:tc>
      </w:tr>
      <w:tr w:rsidR="00AB1CE5" w:rsidTr="001B0A82">
        <w:trPr>
          <w:tblCellSpacing w:w="2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  <w:r w:rsidR="00AB1CE5">
              <w:rPr>
                <w:rFonts w:ascii="Century Schoolbook" w:hAnsi="Century Schoolbook"/>
              </w:rPr>
              <w:t>/1</w:t>
            </w:r>
            <w:r>
              <w:rPr>
                <w:rFonts w:ascii="Century Schoolbook" w:hAnsi="Century Schoolbook"/>
              </w:rPr>
              <w:t>2</w:t>
            </w:r>
            <w:r w:rsidR="00AB1CE5">
              <w:rPr>
                <w:rFonts w:ascii="Century Schoolbook" w:hAnsi="Century Schoolbook"/>
              </w:rPr>
              <w:t>/201</w:t>
            </w:r>
            <w:r>
              <w:rPr>
                <w:rFonts w:ascii="Century Schoolbook" w:hAnsi="Century Schoolbook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76C" w:rsidRDefault="00AB1CE5" w:rsidP="00B8576C">
            <w:pPr>
              <w:spacing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  <w:r w:rsidR="00B8576C">
              <w:rPr>
                <w:rFonts w:ascii="Century Schoolbook" w:hAnsi="Century Schoolbook"/>
              </w:rPr>
              <w:t>Case Study/GpA</w:t>
            </w:r>
          </w:p>
          <w:p w:rsidR="00AB1CE5" w:rsidRDefault="00AB1CE5" w:rsidP="007748DB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</w:t>
            </w:r>
            <w:r w:rsidR="007748DB">
              <w:rPr>
                <w:rFonts w:ascii="Century Schoolbook" w:hAnsi="Century Schoolbook"/>
              </w:rPr>
              <w:t>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  <w:p w:rsidR="00AB1CE5" w:rsidRDefault="00AB1CE5" w:rsidP="007748DB">
            <w:pPr>
              <w:spacing w:line="276" w:lineRule="auto"/>
              <w:rPr>
                <w:rFonts w:ascii="Century Schoolbook" w:hAnsi="Century Schoolbook"/>
                <w:b/>
                <w:bCs/>
                <w:color w:val="FF0000"/>
              </w:rPr>
            </w:pP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 w:rsidP="00B8576C">
            <w:pPr>
              <w:spacing w:line="276" w:lineRule="auto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</w:rPr>
              <w:t xml:space="preserve">Prof.Hamam </w:t>
            </w:r>
          </w:p>
          <w:p w:rsidR="00AB1CE5" w:rsidRPr="00B8576C" w:rsidRDefault="00AB1CE5" w:rsidP="00B8576C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</w:tc>
      </w:tr>
      <w:tr w:rsidR="00AB1CE5" w:rsidTr="001B0A82">
        <w:trPr>
          <w:tblCellSpacing w:w="2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17</w:t>
            </w:r>
            <w:r w:rsidR="00AB1CE5">
              <w:rPr>
                <w:rFonts w:ascii="Century Schoolbook" w:hAnsi="Century Schoolbook"/>
                <w:sz w:val="16"/>
              </w:rPr>
              <w:t>/1</w:t>
            </w:r>
            <w:r>
              <w:rPr>
                <w:rFonts w:ascii="Century Schoolbook" w:hAnsi="Century Schoolbook"/>
                <w:sz w:val="16"/>
              </w:rPr>
              <w:t>2</w:t>
            </w:r>
            <w:r w:rsidR="00AB1CE5">
              <w:rPr>
                <w:rFonts w:ascii="Century Schoolbook" w:hAnsi="Century Schoolbook"/>
                <w:sz w:val="16"/>
              </w:rPr>
              <w:t>/201</w:t>
            </w:r>
            <w:r>
              <w:rPr>
                <w:rFonts w:ascii="Century Schoolbook" w:hAnsi="Century Schoolbook"/>
                <w:sz w:val="16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Exam/GpB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  <w:tr w:rsidR="00AB1CE5" w:rsidTr="001B0A82">
        <w:trPr>
          <w:tblCellSpacing w:w="2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BE6806" w:rsidP="00BE6806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2</w:t>
            </w:r>
            <w:r w:rsidR="00AB1CE5">
              <w:rPr>
                <w:rFonts w:ascii="Century Schoolbook" w:hAnsi="Century Schoolbook"/>
                <w:sz w:val="16"/>
              </w:rPr>
              <w:t>4/12/201</w:t>
            </w:r>
            <w:r>
              <w:rPr>
                <w:rFonts w:ascii="Century Schoolbook" w:hAnsi="Century Schoolbook"/>
                <w:sz w:val="16"/>
              </w:rPr>
              <w:t>4</w:t>
            </w: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  <w:sz w:val="16"/>
              </w:rPr>
            </w:pPr>
          </w:p>
          <w:p w:rsidR="00AB1CE5" w:rsidRDefault="00AB1CE5">
            <w:pPr>
              <w:spacing w:line="276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Case Study/GpA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Patient Exam/GpB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Prof.Hamam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Faculty</w:t>
            </w:r>
          </w:p>
          <w:p w:rsidR="00AB1CE5" w:rsidRDefault="00AB1CE5">
            <w:pPr>
              <w:spacing w:line="276" w:lineRule="auto"/>
              <w:rPr>
                <w:rFonts w:ascii="Century Schoolbook" w:hAnsi="Century Schoolbook"/>
              </w:rPr>
            </w:pPr>
          </w:p>
        </w:tc>
      </w:tr>
    </w:tbl>
    <w:p w:rsidR="00AB1CE5" w:rsidRDefault="00AB1CE5" w:rsidP="00AB1CE5">
      <w:pPr>
        <w:spacing w:line="360" w:lineRule="auto"/>
        <w:jc w:val="both"/>
        <w:rPr>
          <w:rFonts w:ascii="Tahoma" w:eastAsia="MS Mincho" w:hAnsi="Tahoma" w:cs="Tahoma"/>
          <w:sz w:val="20"/>
        </w:rPr>
      </w:pPr>
    </w:p>
    <w:p w:rsidR="00AB1CE5" w:rsidRDefault="00AB1CE5" w:rsidP="00AB1CE5">
      <w:pPr>
        <w:spacing w:line="360" w:lineRule="auto"/>
        <w:jc w:val="both"/>
        <w:rPr>
          <w:rFonts w:ascii="Tahoma" w:eastAsia="MS Mincho" w:hAnsi="Tahoma" w:cs="Tahoma"/>
          <w:sz w:val="20"/>
        </w:rPr>
      </w:pPr>
    </w:p>
    <w:p w:rsidR="00AB1CE5" w:rsidRDefault="00AB1CE5" w:rsidP="00AB1CE5">
      <w:pPr>
        <w:spacing w:line="360" w:lineRule="auto"/>
        <w:jc w:val="both"/>
        <w:rPr>
          <w:rFonts w:ascii="Tahoma" w:eastAsia="MS Mincho" w:hAnsi="Tahoma" w:cs="Tahoma"/>
        </w:rPr>
      </w:pPr>
    </w:p>
    <w:p w:rsidR="00AB1CE5" w:rsidRDefault="00AB1CE5" w:rsidP="00AB1CE5"/>
    <w:p w:rsidR="00AB1CE5" w:rsidRDefault="00AB1CE5" w:rsidP="00AB1CE5"/>
    <w:p w:rsidR="00160D60" w:rsidRDefault="00160D60"/>
    <w:sectPr w:rsidR="00160D60" w:rsidSect="00160D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5A" w:rsidRDefault="0044725A" w:rsidP="00CF5112">
      <w:r>
        <w:separator/>
      </w:r>
    </w:p>
  </w:endnote>
  <w:endnote w:type="continuationSeparator" w:id="1">
    <w:p w:rsidR="0044725A" w:rsidRDefault="0044725A" w:rsidP="00CF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16"/>
      <w:docPartObj>
        <w:docPartGallery w:val="Page Numbers (Bottom of Page)"/>
        <w:docPartUnique/>
      </w:docPartObj>
    </w:sdtPr>
    <w:sdtContent>
      <w:p w:rsidR="00CF5112" w:rsidRDefault="00BA4976">
        <w:pPr>
          <w:pStyle w:val="Footer"/>
          <w:jc w:val="center"/>
        </w:pPr>
        <w:fldSimple w:instr=" PAGE   \* MERGEFORMAT ">
          <w:r w:rsidR="00BB10B9">
            <w:rPr>
              <w:noProof/>
            </w:rPr>
            <w:t>2</w:t>
          </w:r>
        </w:fldSimple>
      </w:p>
    </w:sdtContent>
  </w:sdt>
  <w:p w:rsidR="00CF5112" w:rsidRDefault="00CF5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5A" w:rsidRDefault="0044725A" w:rsidP="00CF5112">
      <w:r>
        <w:separator/>
      </w:r>
    </w:p>
  </w:footnote>
  <w:footnote w:type="continuationSeparator" w:id="1">
    <w:p w:rsidR="0044725A" w:rsidRDefault="0044725A" w:rsidP="00CF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AF"/>
    <w:rsid w:val="000740F7"/>
    <w:rsid w:val="000C4CA4"/>
    <w:rsid w:val="001349A1"/>
    <w:rsid w:val="001417CC"/>
    <w:rsid w:val="00160D60"/>
    <w:rsid w:val="001717E4"/>
    <w:rsid w:val="001B0A82"/>
    <w:rsid w:val="002835B9"/>
    <w:rsid w:val="002B267F"/>
    <w:rsid w:val="003509A4"/>
    <w:rsid w:val="0044725A"/>
    <w:rsid w:val="004607AF"/>
    <w:rsid w:val="0049737A"/>
    <w:rsid w:val="004A793C"/>
    <w:rsid w:val="004C0A77"/>
    <w:rsid w:val="006B2596"/>
    <w:rsid w:val="00761D36"/>
    <w:rsid w:val="007748DB"/>
    <w:rsid w:val="007F62D8"/>
    <w:rsid w:val="00870DE2"/>
    <w:rsid w:val="009D22CC"/>
    <w:rsid w:val="00AB1CE5"/>
    <w:rsid w:val="00AE16FF"/>
    <w:rsid w:val="00B233BA"/>
    <w:rsid w:val="00B56BD1"/>
    <w:rsid w:val="00B8576C"/>
    <w:rsid w:val="00BA4976"/>
    <w:rsid w:val="00BB10B9"/>
    <w:rsid w:val="00BE6806"/>
    <w:rsid w:val="00C456F0"/>
    <w:rsid w:val="00CA1D32"/>
    <w:rsid w:val="00CF5112"/>
    <w:rsid w:val="00DD7F91"/>
    <w:rsid w:val="00E83A7F"/>
    <w:rsid w:val="00ED2769"/>
    <w:rsid w:val="00FA1170"/>
    <w:rsid w:val="00FF14AB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60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07A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C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1"/>
    <w:unhideWhenUsed/>
    <w:rsid w:val="00AB1CE5"/>
    <w:pPr>
      <w:jc w:val="both"/>
    </w:pPr>
    <w:rPr>
      <w:rFonts w:ascii="Antique Olive" w:eastAsiaTheme="minorHAnsi" w:hAnsi="Antique Olive" w:cstheme="minorBidi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CE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AB1CE5"/>
    <w:rPr>
      <w:rFonts w:ascii="Antique Olive" w:hAnsi="Antique Oliv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1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2014-08-26T22:28:00Z</dcterms:created>
  <dcterms:modified xsi:type="dcterms:W3CDTF">2014-08-31T21:13:00Z</dcterms:modified>
</cp:coreProperties>
</file>