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31" w:rsidRPr="00D32488" w:rsidRDefault="00D32488">
      <w:pPr>
        <w:rPr>
          <w:rFonts w:hint="cs"/>
          <w:b/>
          <w:bCs/>
          <w:color w:val="C00000"/>
          <w:sz w:val="32"/>
          <w:szCs w:val="32"/>
          <w:u w:val="single"/>
          <w:rtl/>
        </w:rPr>
      </w:pPr>
      <w:r w:rsidRPr="00D3248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التعليق على تجربة دور </w:t>
      </w:r>
      <w:proofErr w:type="spellStart"/>
      <w:r w:rsidRPr="00D32488">
        <w:rPr>
          <w:rFonts w:hint="cs"/>
          <w:b/>
          <w:bCs/>
          <w:color w:val="C00000"/>
          <w:sz w:val="32"/>
          <w:szCs w:val="32"/>
          <w:u w:val="single"/>
          <w:rtl/>
        </w:rPr>
        <w:t>الاكسين</w:t>
      </w:r>
      <w:proofErr w:type="spellEnd"/>
      <w:r w:rsidRPr="00D32488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في استطالة اغماد اوراق الشوفان :</w:t>
      </w:r>
    </w:p>
    <w:p w:rsidR="00D32488" w:rsidRPr="00D32488" w:rsidRDefault="00D32488" w:rsidP="00D32488">
      <w:pPr>
        <w:rPr>
          <w:rFonts w:hint="cs"/>
          <w:sz w:val="28"/>
          <w:szCs w:val="28"/>
          <w:rtl/>
        </w:rPr>
      </w:pPr>
      <w:proofErr w:type="spellStart"/>
      <w:r w:rsidRPr="00D32488">
        <w:rPr>
          <w:sz w:val="28"/>
          <w:szCs w:val="28"/>
          <w:rtl/>
        </w:rPr>
        <w:t>الاوكسين</w:t>
      </w:r>
      <w:proofErr w:type="spellEnd"/>
      <w:r w:rsidRPr="00D32488">
        <w:rPr>
          <w:sz w:val="28"/>
          <w:szCs w:val="28"/>
          <w:rtl/>
        </w:rPr>
        <w:t xml:space="preserve"> يشجع عملية الانقسام غير المباشر في </w:t>
      </w:r>
      <w:proofErr w:type="spellStart"/>
      <w:r w:rsidRPr="00D32488">
        <w:rPr>
          <w:sz w:val="28"/>
          <w:szCs w:val="28"/>
          <w:rtl/>
        </w:rPr>
        <w:t>الخلايا،</w:t>
      </w:r>
      <w:proofErr w:type="spellEnd"/>
      <w:r w:rsidRPr="00D32488">
        <w:rPr>
          <w:sz w:val="28"/>
          <w:szCs w:val="28"/>
          <w:rtl/>
        </w:rPr>
        <w:t xml:space="preserve"> كما أنه يستحث استطالة الخلايا الواقعة تحت القمة النامية التي بدأت بالتميز،</w:t>
      </w:r>
    </w:p>
    <w:p w:rsidR="00000000" w:rsidRPr="00D32488" w:rsidRDefault="003928DC" w:rsidP="00D32488">
      <w:pPr>
        <w:rPr>
          <w:sz w:val="28"/>
          <w:szCs w:val="28"/>
        </w:rPr>
      </w:pPr>
      <w:r w:rsidRPr="00D32488">
        <w:rPr>
          <w:sz w:val="28"/>
          <w:szCs w:val="28"/>
          <w:rtl/>
        </w:rPr>
        <w:t xml:space="preserve">تحدث استطالة الخلایا نتیجة نقص الضغط </w:t>
      </w:r>
      <w:proofErr w:type="spellStart"/>
      <w:r w:rsidRPr="00D32488">
        <w:rPr>
          <w:sz w:val="28"/>
          <w:szCs w:val="28"/>
          <w:rtl/>
        </w:rPr>
        <w:t>الجدارى،</w:t>
      </w:r>
      <w:proofErr w:type="spellEnd"/>
      <w:r w:rsidRPr="00D32488">
        <w:rPr>
          <w:sz w:val="28"/>
          <w:szCs w:val="28"/>
          <w:rtl/>
        </w:rPr>
        <w:t xml:space="preserve"> وارتخاء الجدار </w:t>
      </w:r>
      <w:proofErr w:type="spellStart"/>
      <w:r w:rsidRPr="00D32488">
        <w:rPr>
          <w:sz w:val="28"/>
          <w:szCs w:val="28"/>
          <w:rtl/>
        </w:rPr>
        <w:t>الخلوى،</w:t>
      </w:r>
      <w:proofErr w:type="spellEnd"/>
      <w:r w:rsidRPr="00D32488">
        <w:rPr>
          <w:sz w:val="28"/>
          <w:szCs w:val="28"/>
          <w:rtl/>
        </w:rPr>
        <w:t xml:space="preserve"> وتغیر تكوین الجدار او تقطع وانفصال مكونات الجدار الخلوى مع إعادة تكوین روابط جدیدة </w:t>
      </w:r>
      <w:proofErr w:type="spellStart"/>
      <w:r w:rsidRPr="00D32488">
        <w:rPr>
          <w:sz w:val="28"/>
          <w:szCs w:val="28"/>
          <w:rtl/>
        </w:rPr>
        <w:t>،</w:t>
      </w:r>
      <w:proofErr w:type="spellEnd"/>
      <w:r w:rsidRPr="00D32488">
        <w:rPr>
          <w:sz w:val="28"/>
          <w:szCs w:val="28"/>
          <w:rtl/>
        </w:rPr>
        <w:t xml:space="preserve"> لذلك اقترح ان </w:t>
      </w:r>
      <w:proofErr w:type="spellStart"/>
      <w:r w:rsidRPr="00D32488">
        <w:rPr>
          <w:sz w:val="28"/>
          <w:szCs w:val="28"/>
          <w:rtl/>
        </w:rPr>
        <w:t>الأوكسین</w:t>
      </w:r>
      <w:proofErr w:type="spellEnd"/>
      <w:r w:rsidRPr="00D32488">
        <w:rPr>
          <w:sz w:val="28"/>
          <w:szCs w:val="28"/>
          <w:rtl/>
        </w:rPr>
        <w:t xml:space="preserve"> </w:t>
      </w:r>
      <w:r w:rsidRPr="00D32488">
        <w:rPr>
          <w:sz w:val="28"/>
          <w:szCs w:val="28"/>
          <w:rtl/>
        </w:rPr>
        <w:t xml:space="preserve">یقوم بدور </w:t>
      </w:r>
      <w:r w:rsidRPr="00D32488">
        <w:rPr>
          <w:sz w:val="28"/>
          <w:szCs w:val="28"/>
          <w:rtl/>
        </w:rPr>
        <w:t xml:space="preserve">فى </w:t>
      </w:r>
      <w:r w:rsidRPr="00D32488">
        <w:rPr>
          <w:sz w:val="28"/>
          <w:szCs w:val="28"/>
          <w:rtl/>
        </w:rPr>
        <w:t>فك الروابط الھ</w:t>
      </w:r>
      <w:proofErr w:type="spellStart"/>
      <w:r w:rsidRPr="00D32488">
        <w:rPr>
          <w:sz w:val="28"/>
          <w:szCs w:val="28"/>
          <w:rtl/>
        </w:rPr>
        <w:t>یدروجینیة</w:t>
      </w:r>
      <w:proofErr w:type="spellEnd"/>
      <w:r w:rsidRPr="00D32488">
        <w:rPr>
          <w:sz w:val="28"/>
          <w:szCs w:val="28"/>
          <w:rtl/>
        </w:rPr>
        <w:t xml:space="preserve"> غیر </w:t>
      </w:r>
      <w:proofErr w:type="spellStart"/>
      <w:r w:rsidRPr="00D32488">
        <w:rPr>
          <w:sz w:val="28"/>
          <w:szCs w:val="28"/>
          <w:rtl/>
        </w:rPr>
        <w:t>التسا</w:t>
      </w:r>
      <w:proofErr w:type="spellEnd"/>
      <w:r w:rsidRPr="00D32488">
        <w:rPr>
          <w:sz w:val="28"/>
          <w:szCs w:val="28"/>
          <w:rtl/>
        </w:rPr>
        <w:t>ھ</w:t>
      </w:r>
      <w:proofErr w:type="spellStart"/>
      <w:r w:rsidRPr="00D32488">
        <w:rPr>
          <w:sz w:val="28"/>
          <w:szCs w:val="28"/>
          <w:rtl/>
        </w:rPr>
        <w:t>مية</w:t>
      </w:r>
      <w:proofErr w:type="spellEnd"/>
      <w:r w:rsidRPr="00D32488">
        <w:rPr>
          <w:sz w:val="28"/>
          <w:szCs w:val="28"/>
          <w:rtl/>
        </w:rPr>
        <w:t xml:space="preserve"> بین </w:t>
      </w:r>
      <w:proofErr w:type="spellStart"/>
      <w:r w:rsidRPr="00D32488">
        <w:rPr>
          <w:sz w:val="28"/>
          <w:szCs w:val="28"/>
          <w:rtl/>
        </w:rPr>
        <w:t>بولیمیرات</w:t>
      </w:r>
      <w:proofErr w:type="spellEnd"/>
      <w:r w:rsidRPr="00D32488">
        <w:rPr>
          <w:sz w:val="28"/>
          <w:szCs w:val="28"/>
          <w:rtl/>
        </w:rPr>
        <w:t xml:space="preserve"> </w:t>
      </w:r>
      <w:proofErr w:type="spellStart"/>
      <w:r w:rsidRPr="00D32488">
        <w:rPr>
          <w:sz w:val="28"/>
          <w:szCs w:val="28"/>
          <w:rtl/>
        </w:rPr>
        <w:t>الزیلوجلوكونات</w:t>
      </w:r>
      <w:proofErr w:type="spellEnd"/>
      <w:r w:rsidRPr="00D32488">
        <w:rPr>
          <w:sz w:val="28"/>
          <w:szCs w:val="28"/>
          <w:rtl/>
        </w:rPr>
        <w:t xml:space="preserve"> وألیاف </w:t>
      </w:r>
      <w:proofErr w:type="spellStart"/>
      <w:r w:rsidRPr="00D32488">
        <w:rPr>
          <w:sz w:val="28"/>
          <w:szCs w:val="28"/>
          <w:rtl/>
        </w:rPr>
        <w:t>السليولوز</w:t>
      </w:r>
      <w:proofErr w:type="spellEnd"/>
      <w:r w:rsidRPr="00D32488">
        <w:rPr>
          <w:sz w:val="28"/>
          <w:szCs w:val="28"/>
          <w:rtl/>
        </w:rPr>
        <w:t xml:space="preserve"> الدقیقة مما یسمح بتسلل </w:t>
      </w:r>
      <w:proofErr w:type="spellStart"/>
      <w:r w:rsidRPr="00D32488">
        <w:rPr>
          <w:sz w:val="28"/>
          <w:szCs w:val="28"/>
          <w:rtl/>
        </w:rPr>
        <w:t>الزیلوجلوكونات</w:t>
      </w:r>
      <w:proofErr w:type="spellEnd"/>
      <w:r w:rsidRPr="00D32488">
        <w:rPr>
          <w:sz w:val="28"/>
          <w:szCs w:val="28"/>
          <w:rtl/>
        </w:rPr>
        <w:t xml:space="preserve"> الى </w:t>
      </w:r>
      <w:proofErr w:type="spellStart"/>
      <w:r w:rsidRPr="00D32488">
        <w:rPr>
          <w:sz w:val="28"/>
          <w:szCs w:val="28"/>
          <w:rtl/>
        </w:rPr>
        <w:t>السليولوز</w:t>
      </w:r>
      <w:proofErr w:type="spellEnd"/>
      <w:r w:rsidRPr="00D32488">
        <w:rPr>
          <w:sz w:val="28"/>
          <w:szCs w:val="28"/>
          <w:rtl/>
        </w:rPr>
        <w:t xml:space="preserve"> مما ینتج عنة انبساط غیر عكسي في جدار </w:t>
      </w:r>
      <w:r w:rsidRPr="00D32488">
        <w:rPr>
          <w:sz w:val="28"/>
          <w:szCs w:val="28"/>
          <w:rtl/>
        </w:rPr>
        <w:t>الخلية.</w:t>
      </w:r>
      <w:r w:rsidRPr="00D32488">
        <w:rPr>
          <w:sz w:val="28"/>
          <w:szCs w:val="28"/>
          <w:rtl/>
        </w:rPr>
        <w:t xml:space="preserve"> </w:t>
      </w:r>
    </w:p>
    <w:p w:rsidR="00000000" w:rsidRPr="00D32488" w:rsidRDefault="003928DC" w:rsidP="00D32488">
      <w:pPr>
        <w:rPr>
          <w:sz w:val="28"/>
          <w:szCs w:val="28"/>
          <w:rtl/>
        </w:rPr>
      </w:pPr>
      <w:r w:rsidRPr="00D32488">
        <w:rPr>
          <w:sz w:val="28"/>
          <w:szCs w:val="28"/>
          <w:rtl/>
        </w:rPr>
        <w:t xml:space="preserve">هذا </w:t>
      </w:r>
      <w:r w:rsidRPr="00D32488">
        <w:rPr>
          <w:sz w:val="28"/>
          <w:szCs w:val="28"/>
          <w:rtl/>
        </w:rPr>
        <w:t xml:space="preserve">الارتخاء يؤدي الى نقص فى ضغط الامتلاء وعلیه فالجھد المائى للعصیر الخلوى یصبح اكثر </w:t>
      </w:r>
      <w:proofErr w:type="spellStart"/>
      <w:r w:rsidRPr="00D32488">
        <w:rPr>
          <w:sz w:val="28"/>
          <w:szCs w:val="28"/>
          <w:rtl/>
        </w:rPr>
        <w:t>سالبیة</w:t>
      </w:r>
      <w:proofErr w:type="spellEnd"/>
      <w:r w:rsidRPr="00D32488">
        <w:rPr>
          <w:sz w:val="28"/>
          <w:szCs w:val="28"/>
          <w:rtl/>
        </w:rPr>
        <w:t xml:space="preserve"> عنه فى الخلایا المجاورة فینتشر الماء ناحیة منحدر التدرج فتزداد الخلیة فى الحجم. </w:t>
      </w:r>
    </w:p>
    <w:p w:rsidR="00D32488" w:rsidRPr="00ED73C9" w:rsidRDefault="00D32488" w:rsidP="00D32488">
      <w:pPr>
        <w:rPr>
          <w:rFonts w:hint="cs"/>
          <w:sz w:val="28"/>
          <w:szCs w:val="28"/>
          <w:rtl/>
        </w:rPr>
      </w:pPr>
      <w:r w:rsidRPr="00ED73C9">
        <w:rPr>
          <w:rFonts w:hint="cs"/>
          <w:sz w:val="28"/>
          <w:szCs w:val="28"/>
          <w:rtl/>
        </w:rPr>
        <w:t xml:space="preserve">لذا وجد ان في </w:t>
      </w:r>
      <w:proofErr w:type="spellStart"/>
      <w:r w:rsidRPr="00ED73C9">
        <w:rPr>
          <w:rFonts w:hint="cs"/>
          <w:sz w:val="28"/>
          <w:szCs w:val="28"/>
          <w:rtl/>
        </w:rPr>
        <w:t>التراكيز</w:t>
      </w:r>
      <w:proofErr w:type="spellEnd"/>
      <w:r w:rsidRPr="00ED73C9">
        <w:rPr>
          <w:rFonts w:hint="cs"/>
          <w:sz w:val="28"/>
          <w:szCs w:val="28"/>
          <w:rtl/>
        </w:rPr>
        <w:t xml:space="preserve"> المرتفعه من </w:t>
      </w:r>
      <w:proofErr w:type="spellStart"/>
      <w:r w:rsidRPr="00ED73C9">
        <w:rPr>
          <w:rFonts w:hint="cs"/>
          <w:sz w:val="28"/>
          <w:szCs w:val="28"/>
          <w:rtl/>
        </w:rPr>
        <w:t>الاوكسين</w:t>
      </w:r>
      <w:proofErr w:type="spellEnd"/>
      <w:r w:rsidRPr="00ED73C9">
        <w:rPr>
          <w:rFonts w:hint="cs"/>
          <w:sz w:val="28"/>
          <w:szCs w:val="28"/>
          <w:rtl/>
        </w:rPr>
        <w:t xml:space="preserve"> يستحث  انقسام واستطالة  خلايا اغماد اوراق الشوفان  اكثر من </w:t>
      </w:r>
      <w:proofErr w:type="spellStart"/>
      <w:r w:rsidRPr="00ED73C9">
        <w:rPr>
          <w:rFonts w:hint="cs"/>
          <w:sz w:val="28"/>
          <w:szCs w:val="28"/>
          <w:rtl/>
        </w:rPr>
        <w:t>التراكيز</w:t>
      </w:r>
      <w:proofErr w:type="spellEnd"/>
      <w:r w:rsidRPr="00ED73C9">
        <w:rPr>
          <w:rFonts w:hint="cs"/>
          <w:sz w:val="28"/>
          <w:szCs w:val="28"/>
          <w:rtl/>
        </w:rPr>
        <w:t xml:space="preserve"> </w:t>
      </w:r>
      <w:proofErr w:type="spellStart"/>
      <w:r w:rsidRPr="00ED73C9">
        <w:rPr>
          <w:rFonts w:hint="cs"/>
          <w:sz w:val="28"/>
          <w:szCs w:val="28"/>
          <w:rtl/>
        </w:rPr>
        <w:t>المنخفضه</w:t>
      </w:r>
      <w:proofErr w:type="spellEnd"/>
      <w:r w:rsidRPr="00ED73C9">
        <w:rPr>
          <w:rFonts w:hint="cs"/>
          <w:sz w:val="28"/>
          <w:szCs w:val="28"/>
          <w:rtl/>
        </w:rPr>
        <w:t xml:space="preserve"> .</w:t>
      </w:r>
    </w:p>
    <w:p w:rsidR="00D32488" w:rsidRPr="00ED73C9" w:rsidRDefault="00D32488" w:rsidP="00D32488">
      <w:pPr>
        <w:rPr>
          <w:rFonts w:hint="cs"/>
          <w:b/>
          <w:bCs/>
          <w:color w:val="C00000"/>
          <w:sz w:val="28"/>
          <w:szCs w:val="28"/>
          <w:u w:val="single"/>
          <w:rtl/>
        </w:rPr>
      </w:pPr>
      <w:r w:rsidRPr="00ED73C9">
        <w:rPr>
          <w:rFonts w:hint="cs"/>
          <w:b/>
          <w:bCs/>
          <w:color w:val="C00000"/>
          <w:sz w:val="28"/>
          <w:szCs w:val="28"/>
          <w:u w:val="single"/>
          <w:rtl/>
        </w:rPr>
        <w:t>الحسابات :</w:t>
      </w:r>
    </w:p>
    <w:tbl>
      <w:tblPr>
        <w:tblStyle w:val="a3"/>
        <w:bidiVisual/>
        <w:tblW w:w="0" w:type="auto"/>
        <w:tblInd w:w="-376" w:type="dxa"/>
        <w:tblLook w:val="04A0"/>
      </w:tblPr>
      <w:tblGrid>
        <w:gridCol w:w="2506"/>
        <w:gridCol w:w="2130"/>
        <w:gridCol w:w="2131"/>
        <w:gridCol w:w="2131"/>
      </w:tblGrid>
      <w:tr w:rsidR="00D32488" w:rsidTr="00D32488">
        <w:tc>
          <w:tcPr>
            <w:tcW w:w="2506" w:type="dxa"/>
            <w:shd w:val="clear" w:color="auto" w:fill="F2F2F2" w:themeFill="background1" w:themeFillShade="F2"/>
          </w:tcPr>
          <w:p w:rsidR="00D32488" w:rsidRPr="00D32488" w:rsidRDefault="00D32488" w:rsidP="00D3248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تركيز الهرمون </w:t>
            </w:r>
            <w:proofErr w:type="spellStart"/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ملجرام</w:t>
            </w:r>
            <w:proofErr w:type="spellEnd"/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/لتر</w:t>
            </w:r>
          </w:p>
        </w:tc>
        <w:tc>
          <w:tcPr>
            <w:tcW w:w="2130" w:type="dxa"/>
            <w:shd w:val="clear" w:color="auto" w:fill="F2F2F2" w:themeFill="background1" w:themeFillShade="F2"/>
          </w:tcPr>
          <w:p w:rsidR="00D32488" w:rsidRPr="00D32488" w:rsidRDefault="00D32488" w:rsidP="00D3248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الطول الابتدائي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:rsidR="00D32488" w:rsidRPr="00D32488" w:rsidRDefault="00D32488" w:rsidP="00D3248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الطول النهائي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:rsidR="00D32488" w:rsidRPr="00D32488" w:rsidRDefault="00D32488" w:rsidP="00D3248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الزياده</w:t>
            </w:r>
            <w:proofErr w:type="spellEnd"/>
            <w:r w:rsidRPr="00D3248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بالطول</w:t>
            </w:r>
          </w:p>
        </w:tc>
      </w:tr>
      <w:tr w:rsidR="00D32488" w:rsidRPr="00D32488" w:rsidTr="00D32488">
        <w:tc>
          <w:tcPr>
            <w:tcW w:w="2506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0.01</w:t>
            </w:r>
          </w:p>
        </w:tc>
        <w:tc>
          <w:tcPr>
            <w:tcW w:w="2130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1سم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1.</w:t>
            </w: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2سم</w:t>
            </w:r>
            <w:proofErr w:type="spellEnd"/>
          </w:p>
        </w:tc>
      </w:tr>
      <w:tr w:rsidR="00D32488" w:rsidRPr="00D32488" w:rsidTr="00D32488">
        <w:tc>
          <w:tcPr>
            <w:tcW w:w="2506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0.1</w:t>
            </w:r>
          </w:p>
        </w:tc>
        <w:tc>
          <w:tcPr>
            <w:tcW w:w="2130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1سم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1.</w:t>
            </w: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4سم</w:t>
            </w:r>
            <w:proofErr w:type="spellEnd"/>
          </w:p>
        </w:tc>
      </w:tr>
      <w:tr w:rsidR="00D32488" w:rsidRPr="00D32488" w:rsidTr="00D32488">
        <w:tc>
          <w:tcPr>
            <w:tcW w:w="2506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30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1سم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1.</w:t>
            </w: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>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8سم</w:t>
            </w:r>
            <w:proofErr w:type="spellEnd"/>
          </w:p>
        </w:tc>
      </w:tr>
      <w:tr w:rsidR="00D32488" w:rsidRPr="00D32488" w:rsidTr="00D32488">
        <w:tc>
          <w:tcPr>
            <w:tcW w:w="2506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130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1سم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2.</w:t>
            </w: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2سم</w:t>
            </w:r>
            <w:proofErr w:type="spellEnd"/>
          </w:p>
        </w:tc>
      </w:tr>
      <w:tr w:rsidR="00D32488" w:rsidRPr="00D32488" w:rsidTr="00D32488">
        <w:tc>
          <w:tcPr>
            <w:tcW w:w="2506" w:type="dxa"/>
          </w:tcPr>
          <w:p w:rsidR="00D32488" w:rsidRPr="00D32488" w:rsidRDefault="00D32488" w:rsidP="00D3248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D32488">
              <w:rPr>
                <w:rFonts w:hint="cs"/>
                <w:sz w:val="28"/>
                <w:szCs w:val="28"/>
                <w:rtl/>
              </w:rPr>
              <w:t>100</w:t>
            </w:r>
          </w:p>
        </w:tc>
        <w:tc>
          <w:tcPr>
            <w:tcW w:w="2130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1سم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D32488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>سم</w:t>
            </w:r>
            <w:proofErr w:type="spellEnd"/>
          </w:p>
        </w:tc>
        <w:tc>
          <w:tcPr>
            <w:tcW w:w="2131" w:type="dxa"/>
          </w:tcPr>
          <w:p w:rsidR="00D32488" w:rsidRPr="00D32488" w:rsidRDefault="00D32488" w:rsidP="00D3248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4سم</w:t>
            </w:r>
            <w:proofErr w:type="spellEnd"/>
          </w:p>
        </w:tc>
      </w:tr>
    </w:tbl>
    <w:p w:rsidR="00D32488" w:rsidRDefault="00D32488" w:rsidP="00D32488">
      <w:pPr>
        <w:jc w:val="center"/>
        <w:rPr>
          <w:rFonts w:hint="cs"/>
          <w:sz w:val="28"/>
          <w:szCs w:val="28"/>
          <w:rtl/>
        </w:rPr>
      </w:pPr>
    </w:p>
    <w:p w:rsidR="003928DC" w:rsidRDefault="00ED73C9" w:rsidP="003928DC">
      <w:pPr>
        <w:keepNext/>
      </w:pPr>
      <w:r>
        <w:rPr>
          <w:noProof/>
          <w:sz w:val="28"/>
          <w:szCs w:val="28"/>
        </w:rPr>
        <w:drawing>
          <wp:inline distT="0" distB="0" distL="0" distR="0">
            <wp:extent cx="4815416" cy="2582333"/>
            <wp:effectExtent l="19050" t="0" r="23284" b="8467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73C9" w:rsidRPr="00D32488" w:rsidRDefault="003928DC" w:rsidP="003928DC">
      <w:pPr>
        <w:pStyle w:val="a5"/>
        <w:jc w:val="center"/>
        <w:rPr>
          <w:sz w:val="28"/>
          <w:szCs w:val="28"/>
        </w:rPr>
      </w:pP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توضيحي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رسم_توضيحي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noProof/>
          <w:rtl/>
        </w:rPr>
        <w:t>العلاقه بين تركيز هرمون الاوكسين والزياده في اطوال اغماد نبات الشوفان</w:t>
      </w:r>
    </w:p>
    <w:sectPr w:rsidR="00ED73C9" w:rsidRPr="00D32488" w:rsidSect="00BF5A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622"/>
    <w:multiLevelType w:val="hybridMultilevel"/>
    <w:tmpl w:val="BA2CD5F4"/>
    <w:lvl w:ilvl="0" w:tplc="80665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23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6D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87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4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A6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0E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82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08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32488"/>
    <w:rsid w:val="003928DC"/>
    <w:rsid w:val="00762AF8"/>
    <w:rsid w:val="00A35926"/>
    <w:rsid w:val="00BF5AF2"/>
    <w:rsid w:val="00D32488"/>
    <w:rsid w:val="00D835FC"/>
    <w:rsid w:val="00E91631"/>
    <w:rsid w:val="00ED73C9"/>
    <w:rsid w:val="00EE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D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D73C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928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88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5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/>
      <c:barChart>
        <c:barDir val="col"/>
        <c:grouping val="clustered"/>
        <c:ser>
          <c:idx val="0"/>
          <c:order val="0"/>
          <c:tx>
            <c:strRef>
              <c:f>ورقة1!$B$1</c:f>
              <c:strCache>
                <c:ptCount val="1"/>
                <c:pt idx="0">
                  <c:v>الزياده بالطول </c:v>
                </c:pt>
              </c:strCache>
            </c:strRef>
          </c:tx>
          <c:cat>
            <c:numRef>
              <c:f>ورقة1!$A$2:$A$6</c:f>
              <c:numCache>
                <c:formatCode>General</c:formatCode>
                <c:ptCount val="5"/>
                <c:pt idx="0">
                  <c:v>1.0000000000000002E-2</c:v>
                </c:pt>
                <c:pt idx="1">
                  <c:v>0.1</c:v>
                </c:pt>
                <c:pt idx="2">
                  <c:v>1</c:v>
                </c:pt>
                <c:pt idx="3">
                  <c:v>10</c:v>
                </c:pt>
                <c:pt idx="4">
                  <c:v>100</c:v>
                </c:pt>
              </c:numCache>
            </c:num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عمود1</c:v>
                </c:pt>
              </c:strCache>
            </c:strRef>
          </c:tx>
          <c:cat>
            <c:numRef>
              <c:f>ورقة1!$A$2:$A$6</c:f>
              <c:numCache>
                <c:formatCode>General</c:formatCode>
                <c:ptCount val="5"/>
                <c:pt idx="0">
                  <c:v>1.0000000000000002E-2</c:v>
                </c:pt>
                <c:pt idx="1">
                  <c:v>0.1</c:v>
                </c:pt>
                <c:pt idx="2">
                  <c:v>1</c:v>
                </c:pt>
                <c:pt idx="3">
                  <c:v>10</c:v>
                </c:pt>
                <c:pt idx="4">
                  <c:v>100</c:v>
                </c:pt>
              </c:numCache>
            </c:numRef>
          </c:cat>
          <c:val>
            <c:numRef>
              <c:f>ورقة1!$C$2:$C$6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 </c:v>
                </c:pt>
              </c:strCache>
            </c:strRef>
          </c:tx>
          <c:cat>
            <c:numRef>
              <c:f>ورقة1!$A$2:$A$6</c:f>
              <c:numCache>
                <c:formatCode>General</c:formatCode>
                <c:ptCount val="5"/>
                <c:pt idx="0">
                  <c:v>1.0000000000000002E-2</c:v>
                </c:pt>
                <c:pt idx="1">
                  <c:v>0.1</c:v>
                </c:pt>
                <c:pt idx="2">
                  <c:v>1</c:v>
                </c:pt>
                <c:pt idx="3">
                  <c:v>10</c:v>
                </c:pt>
                <c:pt idx="4">
                  <c:v>100</c:v>
                </c:pt>
              </c:numCache>
            </c:numRef>
          </c:cat>
          <c:val>
            <c:numRef>
              <c:f>ورقة1!$D$2:$D$6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98884224"/>
        <c:axId val="98887552"/>
      </c:barChart>
      <c:catAx>
        <c:axId val="98884224"/>
        <c:scaling>
          <c:orientation val="minMax"/>
        </c:scaling>
        <c:axPos val="b"/>
        <c:numFmt formatCode="General" sourceLinked="1"/>
        <c:tickLblPos val="nextTo"/>
        <c:crossAx val="98887552"/>
        <c:crosses val="autoZero"/>
        <c:auto val="1"/>
        <c:lblAlgn val="ctr"/>
        <c:lblOffset val="100"/>
      </c:catAx>
      <c:valAx>
        <c:axId val="98887552"/>
        <c:scaling>
          <c:orientation val="minMax"/>
        </c:scaling>
        <c:axPos val="l"/>
        <c:majorGridlines/>
        <c:numFmt formatCode="General" sourceLinked="1"/>
        <c:tickLblPos val="nextTo"/>
        <c:crossAx val="988842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2015-11-02T18:58:00Z</dcterms:created>
  <dcterms:modified xsi:type="dcterms:W3CDTF">2015-11-02T19:12:00Z</dcterms:modified>
</cp:coreProperties>
</file>