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4F7" w:rsidRDefault="00C254F7" w:rsidP="00C254F7">
      <w:pPr>
        <w:rPr>
          <w:rFonts w:cs="Traditional Arabic"/>
          <w:sz w:val="32"/>
          <w:szCs w:val="32"/>
          <w:rtl/>
        </w:rPr>
      </w:pPr>
      <w:r w:rsidRPr="00433267">
        <w:rPr>
          <w:rFonts w:cs="Traditional Arabic" w:hint="cs"/>
          <w:sz w:val="32"/>
          <w:szCs w:val="32"/>
          <w:rtl/>
        </w:rPr>
        <w:t>توصيف مقرر</w:t>
      </w:r>
      <w:r w:rsidRPr="00433267">
        <w:rPr>
          <w:rFonts w:cs="Traditional Arabic"/>
          <w:sz w:val="32"/>
          <w:szCs w:val="32"/>
        </w:rPr>
        <w:t>:</w:t>
      </w:r>
      <w:r w:rsidRPr="00433267">
        <w:rPr>
          <w:rFonts w:cs="Traditional Arabic" w:hint="cs"/>
          <w:sz w:val="32"/>
          <w:szCs w:val="32"/>
          <w:rtl/>
        </w:rPr>
        <w:t xml:space="preserve"> ( 605 نهج ) الإشراف التعليمي</w:t>
      </w:r>
    </w:p>
    <w:tbl>
      <w:tblPr>
        <w:bidiVisual/>
        <w:tblW w:w="8748"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6408"/>
      </w:tblGrid>
      <w:tr w:rsidR="00C254F7" w:rsidRPr="007837BF" w:rsidTr="003D14D5">
        <w:tc>
          <w:tcPr>
            <w:tcW w:w="2340" w:type="dxa"/>
          </w:tcPr>
          <w:p w:rsidR="00C254F7" w:rsidRPr="007837BF" w:rsidRDefault="00C254F7" w:rsidP="003D14D5">
            <w:pPr>
              <w:jc w:val="lowKashida"/>
              <w:rPr>
                <w:rFonts w:cs="Traditional Arabic"/>
                <w:sz w:val="28"/>
                <w:szCs w:val="28"/>
              </w:rPr>
            </w:pPr>
            <w:r w:rsidRPr="007837BF">
              <w:rPr>
                <w:rFonts w:cs="Traditional Arabic" w:hint="cs"/>
                <w:sz w:val="28"/>
                <w:szCs w:val="28"/>
                <w:rtl/>
              </w:rPr>
              <w:t>رقم ورمز المقرر</w:t>
            </w:r>
          </w:p>
        </w:tc>
        <w:tc>
          <w:tcPr>
            <w:tcW w:w="6408" w:type="dxa"/>
          </w:tcPr>
          <w:p w:rsidR="00C254F7" w:rsidRPr="002673BF" w:rsidRDefault="00C254F7" w:rsidP="003D14D5">
            <w:pPr>
              <w:jc w:val="lowKashida"/>
              <w:rPr>
                <w:rFonts w:cs="Traditional Arabic"/>
                <w:sz w:val="28"/>
                <w:szCs w:val="28"/>
              </w:rPr>
            </w:pPr>
            <w:r w:rsidRPr="002673BF">
              <w:rPr>
                <w:rFonts w:cs="Traditional Arabic" w:hint="cs"/>
                <w:sz w:val="28"/>
                <w:szCs w:val="28"/>
                <w:rtl/>
              </w:rPr>
              <w:t>605 نهج</w:t>
            </w:r>
          </w:p>
        </w:tc>
      </w:tr>
      <w:tr w:rsidR="00C254F7" w:rsidRPr="007837BF" w:rsidTr="003D14D5">
        <w:tc>
          <w:tcPr>
            <w:tcW w:w="2340" w:type="dxa"/>
          </w:tcPr>
          <w:p w:rsidR="00C254F7" w:rsidRPr="007837BF" w:rsidRDefault="00C254F7" w:rsidP="003D14D5">
            <w:pPr>
              <w:jc w:val="lowKashida"/>
              <w:rPr>
                <w:rFonts w:cs="Traditional Arabic"/>
                <w:sz w:val="28"/>
                <w:szCs w:val="28"/>
              </w:rPr>
            </w:pPr>
            <w:r w:rsidRPr="007837BF">
              <w:rPr>
                <w:rFonts w:cs="Traditional Arabic" w:hint="cs"/>
                <w:sz w:val="28"/>
                <w:szCs w:val="28"/>
                <w:rtl/>
              </w:rPr>
              <w:t>اسم المقرر</w:t>
            </w:r>
          </w:p>
        </w:tc>
        <w:tc>
          <w:tcPr>
            <w:tcW w:w="6408" w:type="dxa"/>
          </w:tcPr>
          <w:p w:rsidR="00C254F7" w:rsidRPr="002673BF" w:rsidRDefault="00C254F7" w:rsidP="003D14D5">
            <w:pPr>
              <w:jc w:val="lowKashida"/>
              <w:rPr>
                <w:rFonts w:cs="Traditional Arabic"/>
                <w:sz w:val="28"/>
                <w:szCs w:val="28"/>
              </w:rPr>
            </w:pPr>
            <w:r w:rsidRPr="002673BF">
              <w:rPr>
                <w:rFonts w:cs="Traditional Arabic" w:hint="cs"/>
                <w:sz w:val="28"/>
                <w:szCs w:val="28"/>
                <w:rtl/>
              </w:rPr>
              <w:t>الإشراف التعليمي</w:t>
            </w:r>
          </w:p>
        </w:tc>
      </w:tr>
      <w:tr w:rsidR="00C254F7" w:rsidRPr="007837BF" w:rsidTr="003D14D5">
        <w:tc>
          <w:tcPr>
            <w:tcW w:w="2340" w:type="dxa"/>
          </w:tcPr>
          <w:p w:rsidR="00C254F7" w:rsidRPr="007837BF" w:rsidRDefault="00C254F7" w:rsidP="003D14D5">
            <w:pPr>
              <w:jc w:val="lowKashida"/>
              <w:rPr>
                <w:rFonts w:cs="Traditional Arabic"/>
                <w:sz w:val="28"/>
                <w:szCs w:val="28"/>
              </w:rPr>
            </w:pPr>
            <w:r w:rsidRPr="007837BF">
              <w:rPr>
                <w:rFonts w:cs="Traditional Arabic" w:hint="cs"/>
                <w:sz w:val="28"/>
                <w:szCs w:val="28"/>
                <w:rtl/>
              </w:rPr>
              <w:t>عدد وحدات المقرر</w:t>
            </w:r>
          </w:p>
        </w:tc>
        <w:tc>
          <w:tcPr>
            <w:tcW w:w="6408" w:type="dxa"/>
          </w:tcPr>
          <w:p w:rsidR="00C254F7" w:rsidRPr="002673BF" w:rsidRDefault="00C254F7" w:rsidP="003D14D5">
            <w:pPr>
              <w:jc w:val="lowKashida"/>
              <w:rPr>
                <w:rFonts w:cs="Traditional Arabic"/>
                <w:sz w:val="28"/>
                <w:szCs w:val="28"/>
              </w:rPr>
            </w:pPr>
            <w:r w:rsidRPr="002673BF">
              <w:rPr>
                <w:rFonts w:cs="Traditional Arabic" w:hint="cs"/>
                <w:sz w:val="28"/>
                <w:szCs w:val="28"/>
                <w:rtl/>
              </w:rPr>
              <w:t>3 وحدات</w:t>
            </w:r>
          </w:p>
        </w:tc>
      </w:tr>
      <w:tr w:rsidR="00C254F7" w:rsidRPr="007837BF" w:rsidTr="003D14D5">
        <w:tc>
          <w:tcPr>
            <w:tcW w:w="2340" w:type="dxa"/>
          </w:tcPr>
          <w:p w:rsidR="00C254F7" w:rsidRPr="007837BF" w:rsidRDefault="00C254F7" w:rsidP="003D14D5">
            <w:pPr>
              <w:jc w:val="lowKashida"/>
              <w:rPr>
                <w:rFonts w:cs="Traditional Arabic"/>
                <w:sz w:val="28"/>
                <w:szCs w:val="28"/>
              </w:rPr>
            </w:pPr>
            <w:r w:rsidRPr="007837BF">
              <w:rPr>
                <w:rFonts w:cs="Traditional Arabic" w:hint="cs"/>
                <w:sz w:val="28"/>
                <w:szCs w:val="28"/>
                <w:rtl/>
              </w:rPr>
              <w:t>المتطلب السابق</w:t>
            </w:r>
          </w:p>
        </w:tc>
        <w:tc>
          <w:tcPr>
            <w:tcW w:w="6408" w:type="dxa"/>
          </w:tcPr>
          <w:p w:rsidR="00C254F7" w:rsidRPr="00337083" w:rsidRDefault="00C254F7" w:rsidP="003D14D5">
            <w:pPr>
              <w:spacing w:line="18" w:lineRule="atLeast"/>
              <w:jc w:val="lowKashida"/>
              <w:rPr>
                <w:rFonts w:cs="Traditional Arabic"/>
                <w:sz w:val="28"/>
                <w:szCs w:val="28"/>
                <w:rtl/>
              </w:rPr>
            </w:pPr>
            <w:r w:rsidRPr="00337083">
              <w:rPr>
                <w:rFonts w:cs="Traditional Arabic" w:hint="cs"/>
                <w:sz w:val="28"/>
                <w:szCs w:val="28"/>
                <w:rtl/>
              </w:rPr>
              <w:t>لا يوجد</w:t>
            </w:r>
          </w:p>
        </w:tc>
      </w:tr>
      <w:tr w:rsidR="00C254F7" w:rsidRPr="007837BF" w:rsidTr="003D14D5">
        <w:tc>
          <w:tcPr>
            <w:tcW w:w="2340" w:type="dxa"/>
          </w:tcPr>
          <w:p w:rsidR="00C254F7" w:rsidRPr="007837BF" w:rsidRDefault="00C254F7" w:rsidP="003D14D5">
            <w:pPr>
              <w:jc w:val="lowKashida"/>
              <w:rPr>
                <w:rFonts w:cs="Traditional Arabic"/>
                <w:sz w:val="28"/>
                <w:szCs w:val="28"/>
              </w:rPr>
            </w:pPr>
            <w:r w:rsidRPr="007837BF">
              <w:rPr>
                <w:rFonts w:cs="Traditional Arabic" w:hint="cs"/>
                <w:sz w:val="28"/>
                <w:szCs w:val="28"/>
                <w:rtl/>
              </w:rPr>
              <w:t>المقرر المعادل</w:t>
            </w:r>
          </w:p>
        </w:tc>
        <w:tc>
          <w:tcPr>
            <w:tcW w:w="6408" w:type="dxa"/>
          </w:tcPr>
          <w:p w:rsidR="00C254F7" w:rsidRPr="00337083" w:rsidRDefault="00C254F7" w:rsidP="003D14D5">
            <w:pPr>
              <w:spacing w:line="18" w:lineRule="atLeast"/>
              <w:jc w:val="lowKashida"/>
              <w:rPr>
                <w:rFonts w:cs="Traditional Arabic"/>
                <w:sz w:val="28"/>
                <w:szCs w:val="28"/>
                <w:rtl/>
              </w:rPr>
            </w:pPr>
            <w:r w:rsidRPr="00337083">
              <w:rPr>
                <w:rFonts w:cs="Traditional Arabic" w:hint="cs"/>
                <w:sz w:val="28"/>
                <w:szCs w:val="28"/>
                <w:rtl/>
              </w:rPr>
              <w:t>لا يوجد</w:t>
            </w:r>
          </w:p>
        </w:tc>
      </w:tr>
      <w:tr w:rsidR="00C254F7" w:rsidRPr="007837BF" w:rsidTr="003D14D5">
        <w:tc>
          <w:tcPr>
            <w:tcW w:w="2340" w:type="dxa"/>
          </w:tcPr>
          <w:p w:rsidR="00C254F7" w:rsidRPr="007837BF" w:rsidRDefault="00C254F7" w:rsidP="003D14D5">
            <w:pPr>
              <w:jc w:val="lowKashida"/>
              <w:rPr>
                <w:rFonts w:cs="Traditional Arabic"/>
                <w:sz w:val="28"/>
                <w:szCs w:val="28"/>
              </w:rPr>
            </w:pPr>
            <w:r w:rsidRPr="007837BF">
              <w:rPr>
                <w:rFonts w:cs="Traditional Arabic" w:hint="cs"/>
                <w:sz w:val="28"/>
                <w:szCs w:val="28"/>
                <w:rtl/>
              </w:rPr>
              <w:t>المستفيد من المقرر</w:t>
            </w:r>
          </w:p>
        </w:tc>
        <w:tc>
          <w:tcPr>
            <w:tcW w:w="6408" w:type="dxa"/>
          </w:tcPr>
          <w:p w:rsidR="00C254F7" w:rsidRPr="002673BF" w:rsidRDefault="00C254F7" w:rsidP="003D14D5">
            <w:pPr>
              <w:jc w:val="lowKashida"/>
              <w:rPr>
                <w:rFonts w:cs="Traditional Arabic"/>
                <w:sz w:val="28"/>
                <w:szCs w:val="28"/>
                <w:rtl/>
              </w:rPr>
            </w:pPr>
            <w:r>
              <w:rPr>
                <w:rFonts w:cs="Traditional Arabic" w:hint="cs"/>
                <w:sz w:val="28"/>
                <w:szCs w:val="28"/>
                <w:rtl/>
              </w:rPr>
              <w:t>طلاب الدراسات العليا دكتوراه, مسار المناهج وطرق التدريس العامة</w:t>
            </w:r>
          </w:p>
        </w:tc>
      </w:tr>
      <w:tr w:rsidR="00C254F7" w:rsidRPr="007837BF" w:rsidTr="003D14D5">
        <w:tc>
          <w:tcPr>
            <w:tcW w:w="2340" w:type="dxa"/>
          </w:tcPr>
          <w:p w:rsidR="00C254F7" w:rsidRPr="007837BF" w:rsidRDefault="00C254F7" w:rsidP="003D14D5">
            <w:pPr>
              <w:jc w:val="lowKashida"/>
              <w:rPr>
                <w:rFonts w:cs="Traditional Arabic"/>
                <w:sz w:val="28"/>
                <w:szCs w:val="28"/>
              </w:rPr>
            </w:pPr>
            <w:r w:rsidRPr="007837BF">
              <w:rPr>
                <w:rFonts w:cs="Traditional Arabic" w:hint="cs"/>
                <w:sz w:val="28"/>
                <w:szCs w:val="28"/>
                <w:rtl/>
              </w:rPr>
              <w:t xml:space="preserve">تعريف ووصف المقرر (محتويات مختصرة ) </w:t>
            </w:r>
          </w:p>
        </w:tc>
        <w:tc>
          <w:tcPr>
            <w:tcW w:w="6408" w:type="dxa"/>
          </w:tcPr>
          <w:p w:rsidR="00C254F7" w:rsidRPr="002673BF" w:rsidRDefault="00C254F7" w:rsidP="003D14D5">
            <w:pPr>
              <w:jc w:val="lowKashida"/>
              <w:rPr>
                <w:rFonts w:cs="Traditional Arabic"/>
                <w:sz w:val="28"/>
                <w:szCs w:val="28"/>
              </w:rPr>
            </w:pPr>
            <w:r w:rsidRPr="002673BF">
              <w:rPr>
                <w:rFonts w:cs="Traditional Arabic" w:hint="cs"/>
                <w:sz w:val="28"/>
                <w:szCs w:val="28"/>
                <w:rtl/>
              </w:rPr>
              <w:t>يتناول المقرر دراسة مفهوم الإشراف التربوي وأساليبه وواقعه من الجانب النظري والتطبيقي من حيث استخدامه في تحسين العملية التعليمي</w:t>
            </w:r>
            <w:r w:rsidRPr="002673BF">
              <w:rPr>
                <w:rFonts w:cs="Traditional Arabic" w:hint="eastAsia"/>
                <w:sz w:val="28"/>
                <w:szCs w:val="28"/>
                <w:rtl/>
              </w:rPr>
              <w:t>ة</w:t>
            </w:r>
            <w:r>
              <w:rPr>
                <w:rFonts w:cs="Traditional Arabic" w:hint="cs"/>
                <w:sz w:val="28"/>
                <w:szCs w:val="28"/>
                <w:rtl/>
              </w:rPr>
              <w:t>,</w:t>
            </w:r>
            <w:r w:rsidRPr="002673BF">
              <w:rPr>
                <w:rFonts w:cs="Traditional Arabic" w:hint="cs"/>
                <w:sz w:val="28"/>
                <w:szCs w:val="28"/>
                <w:rtl/>
              </w:rPr>
              <w:t xml:space="preserve"> وكذلك يتم استعراض بعض المعوقات التي واجهت المشرف التربوي في ميدان العمل وكيف تم التعامل معها، والتي تواجهه في الوقت المعاصر والمستقبل واقتراح ودراسة طرق التعامل معها.</w:t>
            </w:r>
          </w:p>
        </w:tc>
      </w:tr>
      <w:tr w:rsidR="00C254F7" w:rsidRPr="007837BF" w:rsidTr="003D14D5">
        <w:tc>
          <w:tcPr>
            <w:tcW w:w="2340" w:type="dxa"/>
          </w:tcPr>
          <w:p w:rsidR="00C254F7" w:rsidRPr="007837BF" w:rsidRDefault="00C254F7" w:rsidP="003D14D5">
            <w:pPr>
              <w:jc w:val="lowKashida"/>
              <w:rPr>
                <w:rFonts w:cs="Traditional Arabic"/>
                <w:sz w:val="28"/>
                <w:szCs w:val="28"/>
              </w:rPr>
            </w:pPr>
            <w:r w:rsidRPr="007837BF">
              <w:rPr>
                <w:rFonts w:cs="Traditional Arabic" w:hint="cs"/>
                <w:sz w:val="28"/>
                <w:szCs w:val="28"/>
                <w:rtl/>
              </w:rPr>
              <w:t>أهداف المقرر</w:t>
            </w:r>
          </w:p>
        </w:tc>
        <w:tc>
          <w:tcPr>
            <w:tcW w:w="6408" w:type="dxa"/>
          </w:tcPr>
          <w:p w:rsidR="00C254F7" w:rsidRPr="002673BF" w:rsidRDefault="00C254F7" w:rsidP="003D14D5">
            <w:pPr>
              <w:jc w:val="lowKashida"/>
              <w:rPr>
                <w:rFonts w:cs="Traditional Arabic"/>
                <w:sz w:val="28"/>
                <w:szCs w:val="28"/>
              </w:rPr>
            </w:pPr>
            <w:r w:rsidRPr="002673BF">
              <w:rPr>
                <w:rFonts w:cs="Traditional Arabic" w:hint="cs"/>
                <w:sz w:val="28"/>
                <w:szCs w:val="28"/>
                <w:rtl/>
              </w:rPr>
              <w:t>يهدف</w:t>
            </w:r>
            <w:r>
              <w:rPr>
                <w:rFonts w:cs="Traditional Arabic" w:hint="cs"/>
                <w:sz w:val="28"/>
                <w:szCs w:val="28"/>
                <w:rtl/>
              </w:rPr>
              <w:t xml:space="preserve"> المقرر إلى تزويد طالب الدكتوراه</w:t>
            </w:r>
            <w:r w:rsidRPr="002673BF">
              <w:rPr>
                <w:rFonts w:cs="Traditional Arabic" w:hint="cs"/>
                <w:sz w:val="28"/>
                <w:szCs w:val="28"/>
                <w:rtl/>
              </w:rPr>
              <w:t xml:space="preserve"> بخلفية عامة عن الإشراف التربوي وأساليبه من الجانبين النظري والتطبيقي وكذلك تعرفه على واقع الإشراف التربوي ومعوقاته الحالية واستشرافه للمستقبلية التي قد تواجه المشرف التربوي في ميدان العمل وطرق وأساليب التعامل معها.</w:t>
            </w:r>
          </w:p>
        </w:tc>
      </w:tr>
      <w:tr w:rsidR="00C254F7" w:rsidRPr="007837BF" w:rsidTr="003D14D5">
        <w:trPr>
          <w:trHeight w:val="749"/>
        </w:trPr>
        <w:tc>
          <w:tcPr>
            <w:tcW w:w="2340" w:type="dxa"/>
          </w:tcPr>
          <w:p w:rsidR="00C254F7" w:rsidRPr="007837BF" w:rsidRDefault="00C254F7" w:rsidP="003D14D5">
            <w:pPr>
              <w:jc w:val="lowKashida"/>
              <w:rPr>
                <w:rFonts w:cs="Traditional Arabic"/>
                <w:sz w:val="28"/>
                <w:szCs w:val="28"/>
                <w:rtl/>
              </w:rPr>
            </w:pPr>
            <w:r w:rsidRPr="007837BF">
              <w:rPr>
                <w:rFonts w:cs="Traditional Arabic" w:hint="cs"/>
                <w:sz w:val="28"/>
                <w:szCs w:val="28"/>
                <w:rtl/>
              </w:rPr>
              <w:t>مفردات المقرر</w:t>
            </w:r>
          </w:p>
          <w:p w:rsidR="00C254F7" w:rsidRPr="007837BF" w:rsidRDefault="00C254F7" w:rsidP="003D14D5">
            <w:pPr>
              <w:jc w:val="lowKashida"/>
              <w:rPr>
                <w:rFonts w:cs="Traditional Arabic"/>
                <w:sz w:val="28"/>
                <w:szCs w:val="28"/>
              </w:rPr>
            </w:pPr>
          </w:p>
        </w:tc>
        <w:tc>
          <w:tcPr>
            <w:tcW w:w="6408" w:type="dxa"/>
          </w:tcPr>
          <w:p w:rsidR="00C254F7" w:rsidRPr="002673BF" w:rsidRDefault="00C254F7" w:rsidP="003D14D5">
            <w:pPr>
              <w:jc w:val="lowKashida"/>
              <w:rPr>
                <w:rFonts w:cs="Traditional Arabic"/>
                <w:sz w:val="28"/>
                <w:szCs w:val="28"/>
              </w:rPr>
            </w:pPr>
            <w:r w:rsidRPr="002673BF">
              <w:rPr>
                <w:rFonts w:cs="Traditional Arabic" w:hint="cs"/>
                <w:sz w:val="28"/>
                <w:szCs w:val="28"/>
                <w:rtl/>
              </w:rPr>
              <w:t>مفهوم الإشراف التربوي، أسسه النفسية والنظرية، الإشراف التربوي كمهنة، مراحل تطور وواقع الإشراف التربوي في المملكة وفي بعض الدول المتقدمة، مهمات الإشراف التربوي، مثل: مساعدة المعلم، و/أو التطور</w:t>
            </w:r>
            <w:r>
              <w:rPr>
                <w:rFonts w:cs="Traditional Arabic" w:hint="cs"/>
                <w:sz w:val="28"/>
                <w:szCs w:val="28"/>
                <w:rtl/>
              </w:rPr>
              <w:t xml:space="preserve"> المهني، و/أو تطور المناهج,</w:t>
            </w:r>
            <w:r w:rsidRPr="002673BF">
              <w:rPr>
                <w:rFonts w:cs="Traditional Arabic" w:hint="cs"/>
                <w:sz w:val="28"/>
                <w:szCs w:val="28"/>
                <w:rtl/>
              </w:rPr>
              <w:t xml:space="preserve"> هذا إلى جانب قضايا أخرى تتداخل مع المفردات السابقة، مثل: معوقات الإشراف التربوي وكيفية التعامل معها، وهل يمكن أن نستغني عن الإشراف أو استبداله بغيره من أساليب إشراف الأخرى؟</w:t>
            </w:r>
            <w:r>
              <w:rPr>
                <w:rFonts w:cs="Traditional Arabic" w:hint="cs"/>
                <w:sz w:val="28"/>
                <w:szCs w:val="28"/>
                <w:rtl/>
              </w:rPr>
              <w:t>.</w:t>
            </w:r>
          </w:p>
        </w:tc>
      </w:tr>
      <w:tr w:rsidR="00C254F7" w:rsidRPr="007837BF" w:rsidTr="003D14D5">
        <w:tc>
          <w:tcPr>
            <w:tcW w:w="2340" w:type="dxa"/>
          </w:tcPr>
          <w:p w:rsidR="00C254F7" w:rsidRPr="007837BF" w:rsidRDefault="00C254F7" w:rsidP="003D14D5">
            <w:pPr>
              <w:jc w:val="lowKashida"/>
              <w:rPr>
                <w:rFonts w:cs="Traditional Arabic"/>
                <w:sz w:val="28"/>
                <w:szCs w:val="28"/>
              </w:rPr>
            </w:pPr>
            <w:r>
              <w:rPr>
                <w:rFonts w:cs="Traditional Arabic" w:hint="cs"/>
                <w:sz w:val="28"/>
                <w:szCs w:val="28"/>
                <w:rtl/>
              </w:rPr>
              <w:t>المراجع الرئيس</w:t>
            </w:r>
            <w:r w:rsidRPr="007837BF">
              <w:rPr>
                <w:rFonts w:cs="Traditional Arabic" w:hint="cs"/>
                <w:sz w:val="28"/>
                <w:szCs w:val="28"/>
                <w:rtl/>
              </w:rPr>
              <w:t xml:space="preserve">ة </w:t>
            </w:r>
          </w:p>
        </w:tc>
        <w:tc>
          <w:tcPr>
            <w:tcW w:w="6408" w:type="dxa"/>
          </w:tcPr>
          <w:p w:rsidR="00C254F7" w:rsidRPr="002673BF" w:rsidRDefault="00C254F7" w:rsidP="003D14D5">
            <w:pPr>
              <w:ind w:left="252" w:hanging="180"/>
              <w:jc w:val="lowKashida"/>
              <w:rPr>
                <w:rFonts w:cs="Traditional Arabic"/>
                <w:sz w:val="28"/>
                <w:szCs w:val="28"/>
                <w:rtl/>
              </w:rPr>
            </w:pPr>
            <w:r w:rsidRPr="00D438D0">
              <w:rPr>
                <w:rFonts w:cs="Traditional Arabic"/>
                <w:sz w:val="28"/>
                <w:szCs w:val="28"/>
              </w:rPr>
              <w:t xml:space="preserve">1. Educational Supervision: Perspectives, Issues, and Controversies, Jeffrey, </w:t>
            </w:r>
            <w:proofErr w:type="spellStart"/>
            <w:r w:rsidRPr="00D438D0">
              <w:rPr>
                <w:rFonts w:cs="Traditional Arabic"/>
                <w:sz w:val="28"/>
                <w:szCs w:val="28"/>
              </w:rPr>
              <w:t>Glanz</w:t>
            </w:r>
            <w:proofErr w:type="spellEnd"/>
            <w:r w:rsidRPr="00D438D0">
              <w:rPr>
                <w:rFonts w:cs="Traditional Arabic"/>
                <w:sz w:val="28"/>
                <w:szCs w:val="28"/>
              </w:rPr>
              <w:t>, Richard F.  Neville, 1997.</w:t>
            </w:r>
            <w:r>
              <w:t xml:space="preserve"> </w:t>
            </w:r>
            <w:r>
              <w:rPr>
                <w:rFonts w:hint="cs"/>
                <w:rtl/>
              </w:rPr>
              <w:t xml:space="preserve">  </w:t>
            </w:r>
            <w:r>
              <w:rPr>
                <w:rFonts w:cs="Traditional Arabic" w:hint="cs"/>
                <w:sz w:val="28"/>
                <w:szCs w:val="28"/>
                <w:rtl/>
              </w:rPr>
              <w:t xml:space="preserve">                                                                          -  بالإضافة إلى </w:t>
            </w:r>
            <w:r w:rsidRPr="002673BF">
              <w:rPr>
                <w:rFonts w:cs="Traditional Arabic" w:hint="cs"/>
                <w:sz w:val="28"/>
                <w:szCs w:val="28"/>
                <w:rtl/>
              </w:rPr>
              <w:t>الكتب القيمة والمعاصرة في الإشراف التربوي سواء باللغة العربية أو الإنجليزية.</w:t>
            </w:r>
          </w:p>
        </w:tc>
      </w:tr>
    </w:tbl>
    <w:p w:rsidR="00C254F7" w:rsidRPr="005F097E" w:rsidRDefault="00C254F7" w:rsidP="00C254F7">
      <w:pPr>
        <w:rPr>
          <w:rFonts w:cs="Traditional Arabic"/>
          <w:sz w:val="32"/>
          <w:szCs w:val="32"/>
          <w:rtl/>
        </w:rPr>
      </w:pPr>
    </w:p>
    <w:p w:rsidR="00892B52" w:rsidRDefault="00892B52">
      <w:bookmarkStart w:id="0" w:name="_GoBack"/>
      <w:bookmarkEnd w:id="0"/>
    </w:p>
    <w:sectPr w:rsidR="00892B52" w:rsidSect="00AA555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4F7"/>
    <w:rsid w:val="000005F5"/>
    <w:rsid w:val="00016019"/>
    <w:rsid w:val="000D6BC7"/>
    <w:rsid w:val="0015604E"/>
    <w:rsid w:val="002732F9"/>
    <w:rsid w:val="00384E8D"/>
    <w:rsid w:val="003937B9"/>
    <w:rsid w:val="004409A3"/>
    <w:rsid w:val="004665B7"/>
    <w:rsid w:val="004D5C15"/>
    <w:rsid w:val="004E5ED5"/>
    <w:rsid w:val="00541DA8"/>
    <w:rsid w:val="0059650A"/>
    <w:rsid w:val="00672BF4"/>
    <w:rsid w:val="006A52C3"/>
    <w:rsid w:val="007133BA"/>
    <w:rsid w:val="007B01F1"/>
    <w:rsid w:val="007C477C"/>
    <w:rsid w:val="00807B8A"/>
    <w:rsid w:val="00892B52"/>
    <w:rsid w:val="008B7C4C"/>
    <w:rsid w:val="008C6512"/>
    <w:rsid w:val="008E4726"/>
    <w:rsid w:val="008F540B"/>
    <w:rsid w:val="009C62DE"/>
    <w:rsid w:val="00A10BBD"/>
    <w:rsid w:val="00AA5557"/>
    <w:rsid w:val="00AC4B9E"/>
    <w:rsid w:val="00AE40D2"/>
    <w:rsid w:val="00B72BFD"/>
    <w:rsid w:val="00BA5B27"/>
    <w:rsid w:val="00BB6CF4"/>
    <w:rsid w:val="00C07169"/>
    <w:rsid w:val="00C254F7"/>
    <w:rsid w:val="00C76D88"/>
    <w:rsid w:val="00C919FD"/>
    <w:rsid w:val="00CE71CA"/>
    <w:rsid w:val="00D50841"/>
    <w:rsid w:val="00D6409D"/>
    <w:rsid w:val="00ED741E"/>
    <w:rsid w:val="00F11DF0"/>
    <w:rsid w:val="00FD1DEF"/>
    <w:rsid w:val="00FE318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4F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4F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راشد</dc:creator>
  <cp:lastModifiedBy>راشد</cp:lastModifiedBy>
  <cp:revision>1</cp:revision>
  <dcterms:created xsi:type="dcterms:W3CDTF">2012-08-30T14:20:00Z</dcterms:created>
  <dcterms:modified xsi:type="dcterms:W3CDTF">2012-08-30T14:21:00Z</dcterms:modified>
</cp:coreProperties>
</file>