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1842" w14:textId="071AF8D8" w:rsidR="00D06B94" w:rsidRPr="007F0C9E" w:rsidRDefault="00E23161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إدارة المؤسسات الإعلامية</w:t>
      </w:r>
    </w:p>
    <w:p w14:paraId="3D09CA1A" w14:textId="0EDDDCD5" w:rsidR="00D542C0" w:rsidRPr="007F0C9E" w:rsidRDefault="00D542C0" w:rsidP="007F0C9E">
      <w:pPr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 w:rsidR="00E2316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235</w:t>
      </w:r>
      <w:r w:rsidRPr="007F0C9E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نصل) شعبة </w:t>
      </w:r>
      <w:r w:rsidR="00E47FC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630</w:t>
      </w:r>
      <w:r w:rsidR="00E2316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68</w:t>
      </w:r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882"/>
        <w:gridCol w:w="2766"/>
      </w:tblGrid>
      <w:tr w:rsidR="008A02FC" w:rsidRPr="007F0C9E" w14:paraId="0B83FBB8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3B449F" w14:textId="263FE4CB" w:rsidR="008A02FC" w:rsidRPr="00E3552A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م</w:t>
            </w:r>
          </w:p>
        </w:tc>
        <w:tc>
          <w:tcPr>
            <w:tcW w:w="4882" w:type="dxa"/>
          </w:tcPr>
          <w:p w14:paraId="35C42FA0" w14:textId="360B27BB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الموضوعات</w:t>
            </w:r>
          </w:p>
        </w:tc>
        <w:tc>
          <w:tcPr>
            <w:tcW w:w="2766" w:type="dxa"/>
          </w:tcPr>
          <w:p w14:paraId="4263D8E1" w14:textId="4F60CDAC" w:rsidR="008A02FC" w:rsidRPr="00E3552A" w:rsidRDefault="008A0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الاسابيع</w:t>
            </w:r>
          </w:p>
        </w:tc>
      </w:tr>
      <w:tr w:rsidR="008A02FC" w:rsidRPr="007F0C9E" w14:paraId="393F0943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15C7C5C" w14:textId="51605188" w:rsidR="008A02FC" w:rsidRPr="007F0C9E" w:rsidRDefault="008A02FC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4882" w:type="dxa"/>
          </w:tcPr>
          <w:p w14:paraId="341BD04E" w14:textId="0AD6D30D" w:rsidR="008A02FC" w:rsidRPr="007F0C9E" w:rsidRDefault="00A97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</w:t>
            </w:r>
            <w:r w:rsidR="00CB31D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دخل إلى علم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الإدارة وتقسيماتها وعناصره</w:t>
            </w:r>
            <w:r w:rsidR="00CB31D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</w:t>
            </w:r>
          </w:p>
        </w:tc>
        <w:tc>
          <w:tcPr>
            <w:tcW w:w="2766" w:type="dxa"/>
          </w:tcPr>
          <w:p w14:paraId="2A1315FB" w14:textId="1FEA4F43" w:rsidR="008A02FC" w:rsidRPr="007F0C9E" w:rsidRDefault="00E3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الثاني </w:t>
            </w:r>
          </w:p>
        </w:tc>
      </w:tr>
      <w:tr w:rsidR="008A02FC" w:rsidRPr="007F0C9E" w14:paraId="397B99E8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532954" w14:textId="682695B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</w:p>
        </w:tc>
        <w:tc>
          <w:tcPr>
            <w:tcW w:w="4882" w:type="dxa"/>
          </w:tcPr>
          <w:p w14:paraId="0B655B21" w14:textId="10AE1D27" w:rsidR="008A02FC" w:rsidRPr="007F0C9E" w:rsidRDefault="00DD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دور التنظيم في إدارة المؤسسات الإعلامية</w:t>
            </w:r>
          </w:p>
        </w:tc>
        <w:tc>
          <w:tcPr>
            <w:tcW w:w="2766" w:type="dxa"/>
          </w:tcPr>
          <w:p w14:paraId="4A65ABC6" w14:textId="5F5CBB78" w:rsidR="008A02FC" w:rsidRPr="007F0C9E" w:rsidRDefault="00AE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</w:t>
            </w:r>
          </w:p>
        </w:tc>
      </w:tr>
      <w:tr w:rsidR="008A02FC" w:rsidRPr="007F0C9E" w14:paraId="7F971A06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5CC1DFD" w14:textId="2B49695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  <w:tc>
          <w:tcPr>
            <w:tcW w:w="4882" w:type="dxa"/>
          </w:tcPr>
          <w:p w14:paraId="12A76268" w14:textId="2B0EE1DB" w:rsidR="008A02FC" w:rsidRPr="007F0C9E" w:rsidRDefault="00DD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القيادة في المؤسسات الإعلامية</w:t>
            </w:r>
          </w:p>
        </w:tc>
        <w:tc>
          <w:tcPr>
            <w:tcW w:w="2766" w:type="dxa"/>
          </w:tcPr>
          <w:p w14:paraId="3A76EE0C" w14:textId="4F7CD82F" w:rsidR="008A02FC" w:rsidRPr="007F0C9E" w:rsidRDefault="00DD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الرابع</w:t>
            </w:r>
          </w:p>
        </w:tc>
      </w:tr>
      <w:tr w:rsidR="008A02FC" w:rsidRPr="007F0C9E" w14:paraId="2CF8DD87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CE45F3" w14:textId="3A59FCE0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</w:p>
        </w:tc>
        <w:tc>
          <w:tcPr>
            <w:tcW w:w="4882" w:type="dxa"/>
          </w:tcPr>
          <w:p w14:paraId="1E5E592A" w14:textId="6E5923F2" w:rsidR="008A02FC" w:rsidRPr="007F0C9E" w:rsidRDefault="00DD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مقومات التخطيط الإعلامي</w:t>
            </w:r>
          </w:p>
        </w:tc>
        <w:tc>
          <w:tcPr>
            <w:tcW w:w="2766" w:type="dxa"/>
          </w:tcPr>
          <w:p w14:paraId="248F6A97" w14:textId="0336B02E" w:rsidR="008A02FC" w:rsidRPr="007F0C9E" w:rsidRDefault="00DD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الخامس</w:t>
            </w:r>
          </w:p>
        </w:tc>
      </w:tr>
      <w:tr w:rsidR="008A02FC" w:rsidRPr="007F0C9E" w14:paraId="5F284084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2574022" w14:textId="2946FCE9" w:rsidR="008A02FC" w:rsidRPr="007F0C9E" w:rsidRDefault="00B02794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  <w:tc>
          <w:tcPr>
            <w:tcW w:w="4882" w:type="dxa"/>
          </w:tcPr>
          <w:p w14:paraId="48444C1E" w14:textId="3B359A51" w:rsidR="008A02FC" w:rsidRPr="007F0C9E" w:rsidRDefault="0002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مراحل </w:t>
            </w:r>
            <w:r w:rsidR="0069016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التخطيط الإعلامي</w:t>
            </w:r>
          </w:p>
        </w:tc>
        <w:tc>
          <w:tcPr>
            <w:tcW w:w="2766" w:type="dxa"/>
          </w:tcPr>
          <w:p w14:paraId="7F28E6B9" w14:textId="0E2823BA" w:rsidR="008A02FC" w:rsidRPr="007F0C9E" w:rsidRDefault="0069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السادس</w:t>
            </w:r>
          </w:p>
        </w:tc>
      </w:tr>
      <w:tr w:rsidR="00690168" w:rsidRPr="007F0C9E" w14:paraId="13A61F60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6D90D67" w14:textId="0AA547E8" w:rsidR="00690168" w:rsidRPr="007F0C9E" w:rsidRDefault="00E01E5D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4882" w:type="dxa"/>
          </w:tcPr>
          <w:p w14:paraId="1FE3EFFA" w14:textId="7A311E6A" w:rsidR="00690168" w:rsidRDefault="0069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محددات الإدارة في المؤسسات الصحافية</w:t>
            </w:r>
          </w:p>
        </w:tc>
        <w:tc>
          <w:tcPr>
            <w:tcW w:w="2766" w:type="dxa"/>
          </w:tcPr>
          <w:p w14:paraId="067A0F35" w14:textId="4F99C12B" w:rsidR="00690168" w:rsidRDefault="0044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الثامن</w:t>
            </w:r>
          </w:p>
        </w:tc>
      </w:tr>
      <w:tr w:rsidR="00F1147C" w:rsidRPr="007F0C9E" w14:paraId="0E8997DF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EF81488" w14:textId="6075C754" w:rsidR="00F1147C" w:rsidRDefault="00E01E5D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4882" w:type="dxa"/>
          </w:tcPr>
          <w:p w14:paraId="5E385D4D" w14:textId="7F270E76" w:rsidR="00F1147C" w:rsidRDefault="00F1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مفاهيم و</w:t>
            </w:r>
            <w:r w:rsidR="00CB31D1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سس لإدارة الصحفية</w:t>
            </w:r>
          </w:p>
        </w:tc>
        <w:tc>
          <w:tcPr>
            <w:tcW w:w="2766" w:type="dxa"/>
          </w:tcPr>
          <w:p w14:paraId="33604025" w14:textId="68D04C27" w:rsidR="00F1147C" w:rsidRDefault="00C5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التاسع</w:t>
            </w:r>
          </w:p>
        </w:tc>
      </w:tr>
      <w:tr w:rsidR="00F1147C" w:rsidRPr="007F0C9E" w14:paraId="4DE3EA2A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54149C7" w14:textId="66E5F1FE" w:rsidR="00F1147C" w:rsidRDefault="00E01E5D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4882" w:type="dxa"/>
          </w:tcPr>
          <w:p w14:paraId="64B853AC" w14:textId="57E1EA2D" w:rsidR="00F1147C" w:rsidRDefault="00F1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إدارة </w:t>
            </w:r>
            <w:r w:rsidR="00E01E5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الأزمات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في الإدارة</w:t>
            </w:r>
          </w:p>
        </w:tc>
        <w:tc>
          <w:tcPr>
            <w:tcW w:w="2766" w:type="dxa"/>
          </w:tcPr>
          <w:p w14:paraId="0E6EDB68" w14:textId="3E5B83F4" w:rsidR="00F1147C" w:rsidRDefault="00E0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الحادي عشر, الثاني عشر</w:t>
            </w:r>
          </w:p>
        </w:tc>
      </w:tr>
    </w:tbl>
    <w:p w14:paraId="3BA847F4" w14:textId="3B58B206" w:rsidR="008A02FC" w:rsidRPr="007F0C9E" w:rsidRDefault="008A02FC">
      <w:pPr>
        <w:rPr>
          <w:sz w:val="20"/>
          <w:szCs w:val="20"/>
          <w:rtl/>
        </w:rPr>
      </w:pPr>
    </w:p>
    <w:p w14:paraId="54B257BC" w14:textId="4FE0D52C" w:rsidR="003B2C51" w:rsidRPr="00E3552A" w:rsidRDefault="00D542C0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وصف المقرر:</w:t>
      </w:r>
    </w:p>
    <w:p w14:paraId="2565A32C" w14:textId="15221408" w:rsidR="00D542C0" w:rsidRPr="007F0C9E" w:rsidRDefault="00C512A8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يتناول المقرر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 علم الإدارة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في المؤسسات الإعلامية والهياكل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 الإدارية الشائعة في المؤسسات الإعلامية،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وأيضا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 مقومات الإدارة الناجحة </w:t>
      </w:r>
      <w:r>
        <w:rPr>
          <w:rFonts w:ascii="Traditional Arabic" w:hAnsi="Traditional Arabic" w:cs="Traditional Arabic" w:hint="cs"/>
          <w:sz w:val="26"/>
          <w:szCs w:val="26"/>
          <w:rtl/>
        </w:rPr>
        <w:t>في ال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مؤسسات الإعلامية، 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وكذلك 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التخطيط، التنظيم، الاتصال، اتخاذ القرار، الرقابة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في المؤسسات الإعلامية </w:t>
      </w:r>
      <w:r w:rsidR="001560C4">
        <w:rPr>
          <w:rFonts w:ascii="Traditional Arabic" w:hAnsi="Traditional Arabic" w:cs="Traditional Arabic" w:hint="cs"/>
          <w:sz w:val="26"/>
          <w:szCs w:val="26"/>
          <w:rtl/>
        </w:rPr>
        <w:t>وتأثيراتها</w:t>
      </w:r>
      <w:r w:rsidR="0054261F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بالإضافة إلى </w:t>
      </w:r>
      <w:r w:rsidR="001560C4">
        <w:rPr>
          <w:rFonts w:ascii="Traditional Arabic" w:hAnsi="Traditional Arabic" w:cs="Traditional Arabic" w:hint="cs"/>
          <w:sz w:val="26"/>
          <w:szCs w:val="26"/>
          <w:rtl/>
        </w:rPr>
        <w:t xml:space="preserve">مهارات 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إدارة الأزما</w:t>
      </w:r>
      <w:r>
        <w:rPr>
          <w:rFonts w:ascii="Traditional Arabic" w:hAnsi="Traditional Arabic" w:cs="Traditional Arabic" w:hint="cs"/>
          <w:sz w:val="26"/>
          <w:szCs w:val="26"/>
          <w:rtl/>
        </w:rPr>
        <w:t>ت</w:t>
      </w:r>
      <w:r w:rsidR="001560C4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25CD8E7B" w14:textId="0854FB93" w:rsidR="003B2C51" w:rsidRPr="00E3552A" w:rsidRDefault="003B2C51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أهداف المقرر:</w:t>
      </w:r>
    </w:p>
    <w:p w14:paraId="6B27FB18" w14:textId="77777777" w:rsidR="00C512A8" w:rsidRDefault="00434B9F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معرفة الطالب 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بالمفاهيم الأساسية في الإدارة ووظائفها</w:t>
      </w:r>
      <w:r w:rsidR="00CB31D1">
        <w:rPr>
          <w:rFonts w:ascii="Traditional Arabic" w:hAnsi="Traditional Arabic" w:cs="Traditional Arabic" w:hint="cs"/>
          <w:sz w:val="26"/>
          <w:szCs w:val="26"/>
          <w:rtl/>
        </w:rPr>
        <w:t xml:space="preserve"> و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آليات العمل الإداري في المؤسسات الإعلامية</w:t>
      </w:r>
      <w:r w:rsidR="00C512A8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2E37DCAA" w14:textId="2FCDAD6C" w:rsidR="003B429B" w:rsidRDefault="00C512A8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معرفة الطالب ب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عناصر التخطيط الإعلامي وسماته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و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مراحل اتخاذ القرار الإداري في المؤسسات الإعلامية والعوامل المؤثرة فيها</w:t>
      </w:r>
      <w:r w:rsidR="003B429B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0800D6AB" w14:textId="77777777" w:rsidR="003B429B" w:rsidRDefault="003B429B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معرفة الطالب بعناصر القيادة في المؤسسات الإعلامية.</w:t>
      </w:r>
    </w:p>
    <w:p w14:paraId="5CFD08BC" w14:textId="6B6814E6" w:rsidR="00556BD0" w:rsidRPr="007F0C9E" w:rsidRDefault="003B429B">
      <w:p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معرفة الطالب بالتخطيط وإدارة 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>الأزمات في المؤسسات الإعلامية</w:t>
      </w:r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635A756D" w14:textId="0E181C87" w:rsidR="00D95418" w:rsidRPr="00E3552A" w:rsidRDefault="00D95418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توزيع الدرجات</w:t>
      </w:r>
    </w:p>
    <w:tbl>
      <w:tblPr>
        <w:tblStyle w:val="3-5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500"/>
        <w:gridCol w:w="2074"/>
        <w:gridCol w:w="2074"/>
      </w:tblGrid>
      <w:tr w:rsidR="00D95418" w:rsidRPr="007F0C9E" w14:paraId="65417652" w14:textId="77777777" w:rsidTr="00E3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</w:tcPr>
          <w:p w14:paraId="0F06CBC5" w14:textId="486DA75C" w:rsidR="00D95418" w:rsidRPr="00E3552A" w:rsidRDefault="00D95418">
            <w:pPr>
              <w:rPr>
                <w:rFonts w:ascii="Traditional Arabic" w:hAnsi="Traditional Arabic" w:cs="Traditional Arabic"/>
                <w:i w:val="0"/>
                <w:iCs w:val="0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i w:val="0"/>
                <w:iCs w:val="0"/>
                <w:sz w:val="26"/>
                <w:szCs w:val="26"/>
                <w:rtl/>
              </w:rPr>
              <w:t>م</w:t>
            </w:r>
          </w:p>
        </w:tc>
        <w:tc>
          <w:tcPr>
            <w:tcW w:w="3500" w:type="dxa"/>
          </w:tcPr>
          <w:p w14:paraId="12C3F01A" w14:textId="723D7905" w:rsidR="00D95418" w:rsidRPr="00E3552A" w:rsidRDefault="003B2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نوع التقييم</w:t>
            </w:r>
          </w:p>
        </w:tc>
        <w:tc>
          <w:tcPr>
            <w:tcW w:w="2074" w:type="dxa"/>
          </w:tcPr>
          <w:p w14:paraId="01DEDD61" w14:textId="00B9D459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074" w:type="dxa"/>
          </w:tcPr>
          <w:p w14:paraId="5DDF9419" w14:textId="10C655FC" w:rsidR="00D95418" w:rsidRPr="00E3552A" w:rsidRDefault="00D95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E3552A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النسبة </w:t>
            </w:r>
          </w:p>
        </w:tc>
      </w:tr>
      <w:tr w:rsidR="00D95418" w:rsidRPr="007F0C9E" w14:paraId="01D12B0F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652692" w14:textId="23DD588D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500" w:type="dxa"/>
          </w:tcPr>
          <w:p w14:paraId="12856F68" w14:textId="0F6A3C7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الحضور والمشاركة</w:t>
            </w:r>
          </w:p>
        </w:tc>
        <w:tc>
          <w:tcPr>
            <w:tcW w:w="2074" w:type="dxa"/>
          </w:tcPr>
          <w:p w14:paraId="240F9D62" w14:textId="3D82B104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على مدى الفصل</w:t>
            </w:r>
          </w:p>
        </w:tc>
        <w:tc>
          <w:tcPr>
            <w:tcW w:w="2074" w:type="dxa"/>
          </w:tcPr>
          <w:p w14:paraId="06157FB6" w14:textId="5BBEFBBA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10%</w:t>
            </w:r>
          </w:p>
        </w:tc>
      </w:tr>
      <w:tr w:rsidR="003A3B9A" w:rsidRPr="007F0C9E" w14:paraId="3AA5F32D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3A2B4DD" w14:textId="3597DB94" w:rsidR="003A3B9A" w:rsidRPr="007F0C9E" w:rsidRDefault="003A3B9A" w:rsidP="003A3B9A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2 </w:t>
            </w:r>
          </w:p>
        </w:tc>
        <w:tc>
          <w:tcPr>
            <w:tcW w:w="3500" w:type="dxa"/>
          </w:tcPr>
          <w:p w14:paraId="2401602C" w14:textId="4531806B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التكليف الأول</w:t>
            </w:r>
          </w:p>
        </w:tc>
        <w:tc>
          <w:tcPr>
            <w:tcW w:w="2074" w:type="dxa"/>
          </w:tcPr>
          <w:p w14:paraId="63D34250" w14:textId="11A2E6EE" w:rsidR="003A3B9A" w:rsidRPr="007F0C9E" w:rsidRDefault="00A16BCC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السابع</w:t>
            </w:r>
          </w:p>
        </w:tc>
        <w:tc>
          <w:tcPr>
            <w:tcW w:w="2074" w:type="dxa"/>
          </w:tcPr>
          <w:p w14:paraId="3AA3D818" w14:textId="4CA577A1" w:rsidR="003A3B9A" w:rsidRPr="007F0C9E" w:rsidRDefault="003A3B9A" w:rsidP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15%</w:t>
            </w:r>
          </w:p>
        </w:tc>
      </w:tr>
      <w:tr w:rsidR="00D95418" w:rsidRPr="007F0C9E" w14:paraId="45AB3DA8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D838D9C" w14:textId="556930FE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500" w:type="dxa"/>
          </w:tcPr>
          <w:p w14:paraId="2ADC70BD" w14:textId="674DEBF2" w:rsidR="00D95418" w:rsidRPr="007F0C9E" w:rsidRDefault="003A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التكليف الثاني</w:t>
            </w:r>
            <w:r w:rsidR="00D95418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65DDDF0B" w14:textId="45CB2491" w:rsidR="00D95418" w:rsidRPr="007F0C9E" w:rsidRDefault="00C5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الثالث عشر، الرابع عشر</w:t>
            </w:r>
          </w:p>
        </w:tc>
        <w:tc>
          <w:tcPr>
            <w:tcW w:w="2074" w:type="dxa"/>
          </w:tcPr>
          <w:p w14:paraId="0BC2A7C7" w14:textId="14164CF1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530198B2" w14:textId="77777777" w:rsidTr="00E3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C54770" w14:textId="5BC69C9B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3500" w:type="dxa"/>
          </w:tcPr>
          <w:p w14:paraId="7252788A" w14:textId="3CE7477E" w:rsidR="00D95418" w:rsidRPr="007F0C9E" w:rsidRDefault="00D9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</w:t>
            </w:r>
            <w:r w:rsidR="003A3B9A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ختبار منتصف الفصل</w:t>
            </w: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74" w:type="dxa"/>
          </w:tcPr>
          <w:p w14:paraId="60E732DA" w14:textId="36F4D4D4" w:rsidR="00D95418" w:rsidRPr="007F0C9E" w:rsidRDefault="00C5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العاشر</w:t>
            </w:r>
          </w:p>
        </w:tc>
        <w:tc>
          <w:tcPr>
            <w:tcW w:w="2074" w:type="dxa"/>
          </w:tcPr>
          <w:p w14:paraId="2096C49E" w14:textId="32A70569" w:rsidR="00D95418" w:rsidRPr="007F0C9E" w:rsidRDefault="003A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20</w:t>
            </w:r>
            <w:r w:rsidR="00D95418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%</w:t>
            </w:r>
          </w:p>
        </w:tc>
      </w:tr>
      <w:tr w:rsidR="00D95418" w:rsidRPr="007F0C9E" w14:paraId="1D7712CC" w14:textId="77777777" w:rsidTr="00E3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16AB119" w14:textId="7C18E529" w:rsidR="00D95418" w:rsidRPr="007F0C9E" w:rsidRDefault="00D95418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500" w:type="dxa"/>
          </w:tcPr>
          <w:p w14:paraId="0518FB34" w14:textId="72B8D912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2074" w:type="dxa"/>
          </w:tcPr>
          <w:p w14:paraId="2A69BBAE" w14:textId="7589BC49" w:rsidR="00D95418" w:rsidRPr="007F0C9E" w:rsidRDefault="00A1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السادس</w:t>
            </w:r>
            <w:r w:rsidR="0076453C"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عشر </w:t>
            </w:r>
          </w:p>
        </w:tc>
        <w:tc>
          <w:tcPr>
            <w:tcW w:w="2074" w:type="dxa"/>
          </w:tcPr>
          <w:p w14:paraId="3551C81F" w14:textId="3E9D0D6B" w:rsidR="00D95418" w:rsidRPr="007F0C9E" w:rsidRDefault="00D9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7F0C9E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40%</w:t>
            </w:r>
          </w:p>
        </w:tc>
      </w:tr>
    </w:tbl>
    <w:p w14:paraId="4E0B2EAD" w14:textId="7F5ED19F" w:rsidR="00D95418" w:rsidRPr="007F0C9E" w:rsidRDefault="00D95418">
      <w:pPr>
        <w:rPr>
          <w:rFonts w:ascii="Traditional Arabic" w:hAnsi="Traditional Arabic" w:cs="Traditional Arabic"/>
          <w:sz w:val="26"/>
          <w:szCs w:val="26"/>
          <w:rtl/>
        </w:rPr>
      </w:pPr>
    </w:p>
    <w:p w14:paraId="79123F82" w14:textId="3EEC0E18" w:rsidR="00D11E89" w:rsidRPr="00E3552A" w:rsidRDefault="00D11E89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lastRenderedPageBreak/>
        <w:t>المراجع الأساسية:</w:t>
      </w:r>
    </w:p>
    <w:p w14:paraId="0604EA11" w14:textId="393E77E0" w:rsidR="00D86104" w:rsidRDefault="00E47FC4" w:rsidP="008F7F7C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-</w:t>
      </w:r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إدارة المؤسسات الإعلامية في عصر اقتصاد المعرفة، </w:t>
      </w:r>
      <w:proofErr w:type="spellStart"/>
      <w:proofErr w:type="gramStart"/>
      <w:r w:rsidR="008F7F7C">
        <w:rPr>
          <w:rFonts w:ascii="Traditional Arabic" w:hAnsi="Traditional Arabic" w:cs="Traditional Arabic" w:hint="cs"/>
          <w:sz w:val="26"/>
          <w:szCs w:val="26"/>
          <w:rtl/>
        </w:rPr>
        <w:t>د.أمين</w:t>
      </w:r>
      <w:proofErr w:type="spellEnd"/>
      <w:proofErr w:type="gramEnd"/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 سعيد عبدالغني، </w:t>
      </w:r>
      <w:proofErr w:type="spellStart"/>
      <w:r w:rsidR="008F7F7C">
        <w:rPr>
          <w:rFonts w:ascii="Traditional Arabic" w:hAnsi="Traditional Arabic" w:cs="Traditional Arabic" w:hint="cs"/>
          <w:sz w:val="26"/>
          <w:szCs w:val="26"/>
          <w:rtl/>
        </w:rPr>
        <w:t>ايتراك</w:t>
      </w:r>
      <w:proofErr w:type="spellEnd"/>
      <w:r w:rsidR="008F7F7C">
        <w:rPr>
          <w:rFonts w:ascii="Traditional Arabic" w:hAnsi="Traditional Arabic" w:cs="Traditional Arabic" w:hint="cs"/>
          <w:sz w:val="26"/>
          <w:szCs w:val="26"/>
          <w:rtl/>
        </w:rPr>
        <w:t xml:space="preserve"> للطباعة والنشر </w:t>
      </w:r>
      <w:proofErr w:type="spellStart"/>
      <w:r w:rsidR="008F7F7C">
        <w:rPr>
          <w:rFonts w:ascii="Traditional Arabic" w:hAnsi="Traditional Arabic" w:cs="Traditional Arabic" w:hint="cs"/>
          <w:sz w:val="26"/>
          <w:szCs w:val="26"/>
          <w:rtl/>
        </w:rPr>
        <w:t>2006م</w:t>
      </w:r>
      <w:proofErr w:type="spellEnd"/>
    </w:p>
    <w:p w14:paraId="2C89B1AE" w14:textId="320C19A3" w:rsidR="008F7F7C" w:rsidRDefault="008F7F7C" w:rsidP="008F7F7C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- إدارة </w:t>
      </w:r>
      <w:r w:rsidR="00AB17FE">
        <w:rPr>
          <w:rFonts w:ascii="Traditional Arabic" w:hAnsi="Traditional Arabic" w:cs="Traditional Arabic" w:hint="cs"/>
          <w:sz w:val="26"/>
          <w:szCs w:val="26"/>
          <w:rtl/>
        </w:rPr>
        <w:t>المؤسسات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ال</w:t>
      </w:r>
      <w:r w:rsidR="00AB17FE">
        <w:rPr>
          <w:rFonts w:ascii="Traditional Arabic" w:hAnsi="Traditional Arabic" w:cs="Traditional Arabic" w:hint="cs"/>
          <w:sz w:val="26"/>
          <w:szCs w:val="26"/>
          <w:rtl/>
        </w:rPr>
        <w:t xml:space="preserve">إعلامية، الأسس النظرية والنماذج التطبيقية، </w:t>
      </w:r>
      <w:proofErr w:type="spellStart"/>
      <w:proofErr w:type="gramStart"/>
      <w:r w:rsidR="00AB17FE">
        <w:rPr>
          <w:rFonts w:ascii="Traditional Arabic" w:hAnsi="Traditional Arabic" w:cs="Traditional Arabic" w:hint="cs"/>
          <w:sz w:val="26"/>
          <w:szCs w:val="26"/>
          <w:rtl/>
        </w:rPr>
        <w:t>د.عدلي</w:t>
      </w:r>
      <w:proofErr w:type="spellEnd"/>
      <w:proofErr w:type="gramEnd"/>
      <w:r w:rsidR="00AB17FE">
        <w:rPr>
          <w:rFonts w:ascii="Traditional Arabic" w:hAnsi="Traditional Arabic" w:cs="Traditional Arabic" w:hint="cs"/>
          <w:sz w:val="26"/>
          <w:szCs w:val="26"/>
          <w:rtl/>
        </w:rPr>
        <w:t xml:space="preserve"> رضا، دار الفكر العربي </w:t>
      </w:r>
      <w:proofErr w:type="spellStart"/>
      <w:r w:rsidR="00AB17FE">
        <w:rPr>
          <w:rFonts w:ascii="Traditional Arabic" w:hAnsi="Traditional Arabic" w:cs="Traditional Arabic" w:hint="cs"/>
          <w:sz w:val="26"/>
          <w:szCs w:val="26"/>
          <w:rtl/>
        </w:rPr>
        <w:t>2004م</w:t>
      </w:r>
      <w:proofErr w:type="spellEnd"/>
      <w:r w:rsidR="00AB17F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4D774636" w14:textId="5E8FD9F1" w:rsidR="00AB17FE" w:rsidRDefault="00AB17FE" w:rsidP="008F7F7C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-إدارة المؤسسات الصحافية، د. إبراهيم </w:t>
      </w:r>
      <w:r w:rsidR="00F4063C">
        <w:rPr>
          <w:rFonts w:ascii="Traditional Arabic" w:hAnsi="Traditional Arabic" w:cs="Traditional Arabic" w:hint="cs"/>
          <w:sz w:val="26"/>
          <w:szCs w:val="26"/>
          <w:rtl/>
        </w:rPr>
        <w:t>عبد الل</w:t>
      </w:r>
      <w:r w:rsidR="00F4063C">
        <w:rPr>
          <w:rFonts w:ascii="Traditional Arabic" w:hAnsi="Traditional Arabic" w:cs="Traditional Arabic" w:hint="eastAsia"/>
          <w:sz w:val="26"/>
          <w:szCs w:val="26"/>
          <w:rtl/>
        </w:rPr>
        <w:t>ه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المسلمي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، العربي للنشر والتوزيع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1995م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4E8AF239" w14:textId="527A73D6" w:rsidR="00AB17FE" w:rsidRDefault="00AB17FE" w:rsidP="008F7F7C">
      <w:pPr>
        <w:ind w:left="360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-إدارة المؤسسات الإعلامية في الوطن العربي، د. صالح أبو إصبع، صبرا للطباعة والنشر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</w:rPr>
        <w:t>1984م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. </w:t>
      </w:r>
    </w:p>
    <w:p w14:paraId="69CA6F87" w14:textId="16257F7D" w:rsidR="00346E4D" w:rsidRPr="00346E4D" w:rsidRDefault="00346E4D" w:rsidP="00346E4D">
      <w:pPr>
        <w:rPr>
          <w:rFonts w:ascii="Traditional Arabic" w:hAnsi="Traditional Arabic" w:cs="Traditional Arabic"/>
          <w:sz w:val="26"/>
          <w:szCs w:val="26"/>
          <w:rtl/>
        </w:rPr>
      </w:pPr>
    </w:p>
    <w:p w14:paraId="25E1A839" w14:textId="56D1E592" w:rsidR="00D11E89" w:rsidRPr="00E3552A" w:rsidRDefault="00380C2D" w:rsidP="00D11E89">
      <w:pPr>
        <w:ind w:left="360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E3552A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ملاحظات مهمة:</w:t>
      </w:r>
    </w:p>
    <w:p w14:paraId="23351342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الالتزام بموعد المحاضرات.</w:t>
      </w:r>
    </w:p>
    <w:p w14:paraId="4630A1BE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 xml:space="preserve"> عدم استخدام الجوال داخل القاعة الدراسية إطلاقاً.</w:t>
      </w:r>
    </w:p>
    <w:p w14:paraId="52B9DCE6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المحافظة على نظافة القاعة الدراسية، وتجهيزاتها وتقنياتها.</w:t>
      </w:r>
    </w:p>
    <w:p w14:paraId="3F5C4C74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وفقا لأنظمة الجامعة, يحرم الطالب من دخول الاختبار النهائي إذا تعد نسبة الغياب عن المحاضرات 25%</w:t>
      </w:r>
    </w:p>
    <w:p w14:paraId="52EDE35E" w14:textId="77777777" w:rsidR="00BC13D1" w:rsidRPr="003B4AE7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يتعذر قبول أي عمل بعد الموعد المحدد.</w:t>
      </w:r>
    </w:p>
    <w:p w14:paraId="0B387634" w14:textId="0B0EEAB5" w:rsidR="00BC13D1" w:rsidRDefault="000D4612" w:rsidP="003B4AE7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</w:rPr>
      </w:pPr>
      <w:r w:rsidRPr="003B4AE7">
        <w:rPr>
          <w:rFonts w:ascii="Traditional Arabic" w:hAnsi="Traditional Arabic" w:cs="Traditional Arabic"/>
          <w:sz w:val="26"/>
          <w:szCs w:val="26"/>
          <w:rtl/>
        </w:rPr>
        <w:t>يتعذر عمل أي اختبار بديل.</w:t>
      </w:r>
    </w:p>
    <w:p w14:paraId="48D2807F" w14:textId="4E9863C6" w:rsidR="00192436" w:rsidRPr="003B4AE7" w:rsidRDefault="00192436" w:rsidP="0019243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وفقا لأنظمة وسياسة الجامعة, يعتبر الطالب راسب بالمادة إذا ثبت ضلوعه في السرقة الأدبية كنسخ نص أو فكرة دون ذكر المصدر أو الاقتباس.</w:t>
      </w:r>
    </w:p>
    <w:p w14:paraId="564ECF9C" w14:textId="77777777" w:rsidR="004E067F" w:rsidRPr="003B4AE7" w:rsidRDefault="004E067F" w:rsidP="004E067F">
      <w:pPr>
        <w:pStyle w:val="a4"/>
        <w:rPr>
          <w:rFonts w:ascii="Traditional Arabic" w:hAnsi="Traditional Arabic" w:cs="Traditional Arabic"/>
          <w:sz w:val="26"/>
          <w:szCs w:val="26"/>
          <w:rtl/>
        </w:rPr>
      </w:pPr>
      <w:bookmarkStart w:id="0" w:name="_GoBack"/>
      <w:bookmarkEnd w:id="0"/>
    </w:p>
    <w:p w14:paraId="019FE47E" w14:textId="073F51E3" w:rsidR="006B1475" w:rsidRPr="007F0C9E" w:rsidRDefault="006B1475" w:rsidP="003B4AE7">
      <w:pPr>
        <w:pStyle w:val="a4"/>
        <w:rPr>
          <w:rFonts w:ascii="Traditional Arabic" w:hAnsi="Traditional Arabic" w:cs="Traditional Arabic"/>
          <w:sz w:val="26"/>
          <w:szCs w:val="26"/>
        </w:rPr>
      </w:pPr>
    </w:p>
    <w:sectPr w:rsidR="006B1475" w:rsidRPr="007F0C9E" w:rsidSect="008047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84E"/>
    <w:multiLevelType w:val="hybridMultilevel"/>
    <w:tmpl w:val="0A40B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703DE"/>
    <w:multiLevelType w:val="hybridMultilevel"/>
    <w:tmpl w:val="F874044C"/>
    <w:lvl w:ilvl="0" w:tplc="428AF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7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850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2FF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0C3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EC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65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60D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E04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E00092A"/>
    <w:multiLevelType w:val="hybridMultilevel"/>
    <w:tmpl w:val="BD747B64"/>
    <w:lvl w:ilvl="0" w:tplc="429E2C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4"/>
    <w:rsid w:val="0002514A"/>
    <w:rsid w:val="000D4612"/>
    <w:rsid w:val="001560C4"/>
    <w:rsid w:val="00192436"/>
    <w:rsid w:val="00346E4D"/>
    <w:rsid w:val="00380C2D"/>
    <w:rsid w:val="003A3B9A"/>
    <w:rsid w:val="003B2C51"/>
    <w:rsid w:val="003B429B"/>
    <w:rsid w:val="003B4AE7"/>
    <w:rsid w:val="00434B9F"/>
    <w:rsid w:val="00440BED"/>
    <w:rsid w:val="00495504"/>
    <w:rsid w:val="004E067F"/>
    <w:rsid w:val="004E5818"/>
    <w:rsid w:val="0054261F"/>
    <w:rsid w:val="005569FA"/>
    <w:rsid w:val="00556BD0"/>
    <w:rsid w:val="00582A59"/>
    <w:rsid w:val="00690168"/>
    <w:rsid w:val="006B1475"/>
    <w:rsid w:val="0076453C"/>
    <w:rsid w:val="007D0274"/>
    <w:rsid w:val="007F0C9E"/>
    <w:rsid w:val="008047F9"/>
    <w:rsid w:val="008A02FC"/>
    <w:rsid w:val="008F7F7C"/>
    <w:rsid w:val="00957276"/>
    <w:rsid w:val="00A16BCC"/>
    <w:rsid w:val="00A9741F"/>
    <w:rsid w:val="00AB17FE"/>
    <w:rsid w:val="00AE7D8F"/>
    <w:rsid w:val="00B02794"/>
    <w:rsid w:val="00B278F1"/>
    <w:rsid w:val="00BC13D1"/>
    <w:rsid w:val="00BE232A"/>
    <w:rsid w:val="00C512A8"/>
    <w:rsid w:val="00CB31D1"/>
    <w:rsid w:val="00D06B94"/>
    <w:rsid w:val="00D11E89"/>
    <w:rsid w:val="00D542C0"/>
    <w:rsid w:val="00D61C98"/>
    <w:rsid w:val="00D86104"/>
    <w:rsid w:val="00D95418"/>
    <w:rsid w:val="00DD0EF7"/>
    <w:rsid w:val="00DF149F"/>
    <w:rsid w:val="00E01E5D"/>
    <w:rsid w:val="00E23161"/>
    <w:rsid w:val="00E3552A"/>
    <w:rsid w:val="00E47FC4"/>
    <w:rsid w:val="00F1147C"/>
    <w:rsid w:val="00F4063C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00DA"/>
  <w15:chartTrackingRefBased/>
  <w15:docId w15:val="{C54933FF-D62F-4ED2-B5AF-3FF8B88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C0"/>
    <w:pPr>
      <w:ind w:left="720"/>
      <w:contextualSpacing/>
    </w:pPr>
  </w:style>
  <w:style w:type="table" w:styleId="3-5">
    <w:name w:val="Grid Table 3 Accent 5"/>
    <w:basedOn w:val="a1"/>
    <w:uiPriority w:val="48"/>
    <w:rsid w:val="00E35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2-5">
    <w:name w:val="Grid Table 2 Accent 5"/>
    <w:basedOn w:val="a1"/>
    <w:uiPriority w:val="47"/>
    <w:rsid w:val="00E355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annotation reference"/>
    <w:basedOn w:val="a0"/>
    <w:uiPriority w:val="99"/>
    <w:semiHidden/>
    <w:unhideWhenUsed/>
    <w:rsid w:val="00F4063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4063C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F4063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4063C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F4063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4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4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483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434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87">
          <w:marLeft w:val="0"/>
          <w:marRight w:val="475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22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44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88">
          <w:marLeft w:val="0"/>
          <w:marRight w:val="4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 صالح</dc:creator>
  <cp:keywords/>
  <dc:description/>
  <cp:lastModifiedBy>حمد صالح</cp:lastModifiedBy>
  <cp:revision>31</cp:revision>
  <dcterms:created xsi:type="dcterms:W3CDTF">2018-09-05T19:14:00Z</dcterms:created>
  <dcterms:modified xsi:type="dcterms:W3CDTF">2018-09-18T16:14:00Z</dcterms:modified>
</cp:coreProperties>
</file>