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04" w:rsidRPr="005F27DC" w:rsidRDefault="00856404" w:rsidP="00856404">
      <w:pPr>
        <w:bidi/>
        <w:ind w:left="360"/>
        <w:rPr>
          <w:b/>
          <w:bCs/>
          <w:color w:val="0070C0"/>
          <w:sz w:val="32"/>
          <w:szCs w:val="32"/>
          <w:rtl/>
        </w:rPr>
      </w:pPr>
      <w:r w:rsidRPr="005F27DC">
        <w:rPr>
          <w:rFonts w:hint="cs"/>
          <w:b/>
          <w:bCs/>
          <w:color w:val="0070C0"/>
          <w:sz w:val="32"/>
          <w:szCs w:val="32"/>
          <w:rtl/>
        </w:rPr>
        <w:t>تطبيقات في المالية</w:t>
      </w:r>
    </w:p>
    <w:p w:rsidR="00856404" w:rsidRPr="005F27DC" w:rsidRDefault="00856404" w:rsidP="00856404">
      <w:pPr>
        <w:bidi/>
        <w:ind w:left="360"/>
        <w:rPr>
          <w:b/>
          <w:bCs/>
          <w:color w:val="0070C0"/>
          <w:sz w:val="32"/>
          <w:szCs w:val="32"/>
          <w:rtl/>
        </w:rPr>
      </w:pPr>
      <w:r w:rsidRPr="005F27DC">
        <w:rPr>
          <w:rFonts w:hint="cs"/>
          <w:b/>
          <w:bCs/>
          <w:color w:val="0070C0"/>
          <w:sz w:val="32"/>
          <w:szCs w:val="32"/>
          <w:rtl/>
        </w:rPr>
        <w:t>اختيار المحفظة</w:t>
      </w:r>
    </w:p>
    <w:p w:rsidR="00856404" w:rsidRDefault="00856404" w:rsidP="00856404">
      <w:pPr>
        <w:bidi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هناك مسألة تواجه المدراء بشكل مستمر في المؤسسات المصرفية أو في شركات التأمين </w:t>
      </w:r>
      <w:proofErr w:type="spellStart"/>
      <w:r>
        <w:rPr>
          <w:rFonts w:hint="cs"/>
          <w:sz w:val="24"/>
          <w:szCs w:val="24"/>
          <w:rtl/>
        </w:rPr>
        <w:t>أوالمؤسسات</w:t>
      </w:r>
      <w:proofErr w:type="spellEnd"/>
      <w:r>
        <w:rPr>
          <w:rFonts w:hint="cs"/>
          <w:sz w:val="24"/>
          <w:szCs w:val="24"/>
          <w:rtl/>
        </w:rPr>
        <w:t xml:space="preserve"> الاستثمارية بشكل عام وهي اختيار الاستثمارات من بين تنوع واسع من البدائل. إن هدف مدراء الاستثمار في المؤسسات الاستثمارية هو تعظيم الربح. </w:t>
      </w:r>
    </w:p>
    <w:p w:rsidR="00856404" w:rsidRPr="0074589C" w:rsidRDefault="00856404" w:rsidP="00856404">
      <w:pPr>
        <w:bidi/>
        <w:ind w:left="360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واجب (إرسال الحل إلى </w:t>
      </w:r>
      <w:r>
        <w:rPr>
          <w:b/>
          <w:bCs/>
          <w:color w:val="0070C0"/>
          <w:sz w:val="28"/>
          <w:szCs w:val="28"/>
        </w:rPr>
        <w:t>mbadawi@ksu.edu.sa</w:t>
      </w:r>
      <w:bookmarkStart w:id="0" w:name="_GoBack"/>
      <w:bookmarkEnd w:id="0"/>
      <w:r>
        <w:rPr>
          <w:rFonts w:hint="cs"/>
          <w:b/>
          <w:bCs/>
          <w:color w:val="0070C0"/>
          <w:sz w:val="28"/>
          <w:szCs w:val="28"/>
          <w:rtl/>
        </w:rPr>
        <w:t>)</w:t>
      </w:r>
    </w:p>
    <w:p w:rsidR="00856404" w:rsidRDefault="00856404" w:rsidP="00856404">
      <w:pPr>
        <w:bidi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تستثمر إحدى الشركات في الائتمان التجاري القصير الأجل وفي سندات الشركات وأسهم الذهب وقروض البناء. لدى الشركة 5 ملايين ريال وتريد (1) أن تحصل على أكبر ربح ممكن خلال الستة أشهر القادمة. (2) أن يكون تنوع الاستثمار بحسب قرار مجلس الإدارة. الجدول التالي يبين إمكانيات الاستثمار:</w:t>
      </w:r>
    </w:p>
    <w:tbl>
      <w:tblPr>
        <w:tblStyle w:val="a3"/>
        <w:bidiVisual/>
        <w:tblW w:w="0" w:type="auto"/>
        <w:jc w:val="center"/>
        <w:tblInd w:w="-127" w:type="dxa"/>
        <w:tblLook w:val="04A0" w:firstRow="1" w:lastRow="0" w:firstColumn="1" w:lastColumn="0" w:noHBand="0" w:noVBand="1"/>
      </w:tblPr>
      <w:tblGrid>
        <w:gridCol w:w="2071"/>
        <w:gridCol w:w="708"/>
        <w:gridCol w:w="1985"/>
      </w:tblGrid>
      <w:tr w:rsidR="00856404" w:rsidTr="000A7385">
        <w:trPr>
          <w:jc w:val="center"/>
        </w:trPr>
        <w:tc>
          <w:tcPr>
            <w:tcW w:w="2071" w:type="dxa"/>
            <w:shd w:val="clear" w:color="auto" w:fill="F2F2F2" w:themeFill="background1" w:themeFillShade="F2"/>
          </w:tcPr>
          <w:p w:rsidR="00856404" w:rsidRPr="009F37C8" w:rsidRDefault="00856404" w:rsidP="000A7385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F37C8">
              <w:rPr>
                <w:rFonts w:hint="cs"/>
                <w:b/>
                <w:bCs/>
                <w:sz w:val="24"/>
                <w:szCs w:val="24"/>
                <w:rtl/>
              </w:rPr>
              <w:t>الاستثمار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856404" w:rsidRPr="009F37C8" w:rsidRDefault="00856404" w:rsidP="000A7385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F37C8">
              <w:rPr>
                <w:rFonts w:hint="cs"/>
                <w:b/>
                <w:bCs/>
                <w:sz w:val="24"/>
                <w:szCs w:val="24"/>
                <w:rtl/>
              </w:rPr>
              <w:t>العائد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56404" w:rsidRPr="009F37C8" w:rsidRDefault="00856404" w:rsidP="000A7385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37C8">
              <w:rPr>
                <w:rFonts w:hint="cs"/>
                <w:b/>
                <w:bCs/>
                <w:sz w:val="24"/>
                <w:szCs w:val="24"/>
                <w:rtl/>
              </w:rPr>
              <w:t>الحد الأعلى للاستثمار</w:t>
            </w:r>
          </w:p>
        </w:tc>
      </w:tr>
      <w:tr w:rsidR="00856404" w:rsidTr="000A7385">
        <w:trPr>
          <w:jc w:val="center"/>
        </w:trPr>
        <w:tc>
          <w:tcPr>
            <w:tcW w:w="2071" w:type="dxa"/>
          </w:tcPr>
          <w:p w:rsidR="00856404" w:rsidRDefault="00856404" w:rsidP="000A738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الائتمان التجاري</w:t>
            </w:r>
          </w:p>
        </w:tc>
        <w:tc>
          <w:tcPr>
            <w:tcW w:w="708" w:type="dxa"/>
          </w:tcPr>
          <w:p w:rsidR="00856404" w:rsidRDefault="00856404" w:rsidP="000A738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7%</w:t>
            </w:r>
          </w:p>
        </w:tc>
        <w:tc>
          <w:tcPr>
            <w:tcW w:w="1985" w:type="dxa"/>
          </w:tcPr>
          <w:p w:rsidR="00856404" w:rsidRDefault="00856404" w:rsidP="000A738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856404" w:rsidTr="000A7385">
        <w:trPr>
          <w:jc w:val="center"/>
        </w:trPr>
        <w:tc>
          <w:tcPr>
            <w:tcW w:w="2071" w:type="dxa"/>
          </w:tcPr>
          <w:p w:rsidR="00856404" w:rsidRDefault="00856404" w:rsidP="000A738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سندات الشركات</w:t>
            </w:r>
          </w:p>
        </w:tc>
        <w:tc>
          <w:tcPr>
            <w:tcW w:w="708" w:type="dxa"/>
          </w:tcPr>
          <w:p w:rsidR="00856404" w:rsidRDefault="00856404" w:rsidP="000A738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11%</w:t>
            </w:r>
          </w:p>
        </w:tc>
        <w:tc>
          <w:tcPr>
            <w:tcW w:w="1985" w:type="dxa"/>
          </w:tcPr>
          <w:p w:rsidR="00856404" w:rsidRDefault="00856404" w:rsidP="000A738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2.5</w:t>
            </w:r>
          </w:p>
        </w:tc>
      </w:tr>
      <w:tr w:rsidR="00856404" w:rsidTr="000A7385">
        <w:trPr>
          <w:jc w:val="center"/>
        </w:trPr>
        <w:tc>
          <w:tcPr>
            <w:tcW w:w="2071" w:type="dxa"/>
          </w:tcPr>
          <w:p w:rsidR="00856404" w:rsidRDefault="00856404" w:rsidP="000A738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أسهم الذهب</w:t>
            </w:r>
          </w:p>
        </w:tc>
        <w:tc>
          <w:tcPr>
            <w:tcW w:w="708" w:type="dxa"/>
          </w:tcPr>
          <w:p w:rsidR="00856404" w:rsidRDefault="00856404" w:rsidP="000A738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19%</w:t>
            </w:r>
          </w:p>
        </w:tc>
        <w:tc>
          <w:tcPr>
            <w:tcW w:w="1985" w:type="dxa"/>
          </w:tcPr>
          <w:p w:rsidR="00856404" w:rsidRDefault="00856404" w:rsidP="000A738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1.5</w:t>
            </w:r>
          </w:p>
        </w:tc>
      </w:tr>
      <w:tr w:rsidR="00856404" w:rsidTr="000A7385">
        <w:trPr>
          <w:jc w:val="center"/>
        </w:trPr>
        <w:tc>
          <w:tcPr>
            <w:tcW w:w="2071" w:type="dxa"/>
          </w:tcPr>
          <w:p w:rsidR="00856404" w:rsidRDefault="00856404" w:rsidP="000A738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قروض البناء (التشييد)</w:t>
            </w:r>
          </w:p>
        </w:tc>
        <w:tc>
          <w:tcPr>
            <w:tcW w:w="708" w:type="dxa"/>
          </w:tcPr>
          <w:p w:rsidR="00856404" w:rsidRDefault="00856404" w:rsidP="000A738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15%</w:t>
            </w:r>
          </w:p>
        </w:tc>
        <w:tc>
          <w:tcPr>
            <w:tcW w:w="1985" w:type="dxa"/>
          </w:tcPr>
          <w:p w:rsidR="00856404" w:rsidRDefault="00856404" w:rsidP="000A7385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1.8</w:t>
            </w:r>
          </w:p>
        </w:tc>
      </w:tr>
    </w:tbl>
    <w:p w:rsidR="00856404" w:rsidRDefault="00856404" w:rsidP="00856404">
      <w:pPr>
        <w:bidi/>
        <w:ind w:left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</w:t>
      </w:r>
    </w:p>
    <w:p w:rsidR="00856404" w:rsidRDefault="00856404" w:rsidP="00856404">
      <w:pPr>
        <w:bidi/>
        <w:ind w:left="360" w:firstLine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خصص مجلس الإدارة 55% كحد أعلى من الاستثمار في أسهم الذهب و قروض البناء و 15% كحد أدنى للاستثمار في الائتمان التجاري.</w:t>
      </w:r>
    </w:p>
    <w:p w:rsidR="00856404" w:rsidRDefault="00856404" w:rsidP="00856404">
      <w:pPr>
        <w:bidi/>
        <w:ind w:left="360" w:firstLine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لحل هذه المسألة بأسلوب البرمجة الخطية، فإن الهدف هو تعظيم العائد. هناك 4 قيود منفصلة تحد الاستثمار في كل خيار من خيارات الاستثمار بحسب الحد الأعلى الموجود في الجدول أعلاه.</w:t>
      </w:r>
    </w:p>
    <w:p w:rsidR="00856404" w:rsidRDefault="00856404" w:rsidP="00856404">
      <w:pPr>
        <w:bidi/>
        <w:ind w:left="360" w:firstLine="360"/>
        <w:rPr>
          <w:sz w:val="24"/>
          <w:szCs w:val="24"/>
          <w:rtl/>
        </w:rPr>
      </w:pPr>
    </w:p>
    <w:p w:rsidR="00856404" w:rsidRDefault="00856404" w:rsidP="00856404">
      <w:pPr>
        <w:bidi/>
        <w:ind w:left="360" w:firstLine="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المتغيرات:</w:t>
      </w:r>
    </w:p>
    <w:p w:rsidR="00856404" w:rsidRDefault="00856404" w:rsidP="00856404">
      <w:pPr>
        <w:bidi/>
        <w:rPr>
          <w:sz w:val="24"/>
          <w:szCs w:val="24"/>
          <w:rtl/>
        </w:rPr>
      </w:pP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1 = المبلغ المستثمر في الائتمان التجاري </w:t>
      </w:r>
    </w:p>
    <w:p w:rsidR="00856404" w:rsidRDefault="00856404" w:rsidP="00856404">
      <w:pPr>
        <w:bidi/>
        <w:rPr>
          <w:sz w:val="24"/>
          <w:szCs w:val="24"/>
          <w:rtl/>
        </w:rPr>
      </w:pP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2 = المبلغ المستثمر في سندات الشركات </w:t>
      </w:r>
    </w:p>
    <w:p w:rsidR="00856404" w:rsidRDefault="00856404" w:rsidP="00856404">
      <w:pPr>
        <w:bidi/>
        <w:rPr>
          <w:sz w:val="24"/>
          <w:szCs w:val="24"/>
          <w:rtl/>
        </w:rPr>
      </w:pP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3 = المبلغ المستثمر في أسهم الذهب </w:t>
      </w:r>
    </w:p>
    <w:p w:rsidR="00856404" w:rsidRDefault="00856404" w:rsidP="00856404">
      <w:pPr>
        <w:bidi/>
        <w:rPr>
          <w:sz w:val="24"/>
          <w:szCs w:val="24"/>
          <w:rtl/>
        </w:rPr>
      </w:pPr>
      <w:r>
        <w:rPr>
          <w:sz w:val="24"/>
          <w:szCs w:val="24"/>
        </w:rPr>
        <w:t>X</w:t>
      </w:r>
      <w:r>
        <w:rPr>
          <w:rFonts w:hint="cs"/>
          <w:sz w:val="24"/>
          <w:szCs w:val="24"/>
          <w:rtl/>
        </w:rPr>
        <w:t xml:space="preserve">4 = المبلغ المستثمر في قروض البناء </w:t>
      </w:r>
    </w:p>
    <w:p w:rsidR="00856404" w:rsidRPr="00950DB6" w:rsidRDefault="00856404" w:rsidP="00856404">
      <w:pPr>
        <w:bidi/>
        <w:rPr>
          <w:color w:val="0070C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المبلغ الكلي للاستثمار </w:t>
      </w:r>
      <w:r w:rsidRPr="00950DB6">
        <w:rPr>
          <w:rFonts w:hint="cs"/>
          <w:color w:val="0070C0"/>
          <w:sz w:val="24"/>
          <w:szCs w:val="24"/>
          <w:rtl/>
        </w:rPr>
        <w:t xml:space="preserve">= </w:t>
      </w:r>
      <w:r w:rsidRPr="00950DB6">
        <w:rPr>
          <w:color w:val="0070C0"/>
          <w:sz w:val="24"/>
          <w:szCs w:val="24"/>
        </w:rPr>
        <w:t>X</w:t>
      </w:r>
      <w:r w:rsidRPr="00950DB6">
        <w:rPr>
          <w:rFonts w:hint="cs"/>
          <w:color w:val="0070C0"/>
          <w:sz w:val="24"/>
          <w:szCs w:val="24"/>
          <w:rtl/>
        </w:rPr>
        <w:t xml:space="preserve">1 + </w:t>
      </w:r>
      <w:r w:rsidRPr="00950DB6">
        <w:rPr>
          <w:color w:val="0070C0"/>
          <w:sz w:val="24"/>
          <w:szCs w:val="24"/>
        </w:rPr>
        <w:t>X</w:t>
      </w:r>
      <w:r w:rsidRPr="00950DB6">
        <w:rPr>
          <w:rFonts w:hint="cs"/>
          <w:color w:val="0070C0"/>
          <w:sz w:val="24"/>
          <w:szCs w:val="24"/>
          <w:rtl/>
        </w:rPr>
        <w:t xml:space="preserve">2 + </w:t>
      </w:r>
      <w:r w:rsidRPr="00950DB6">
        <w:rPr>
          <w:color w:val="0070C0"/>
          <w:sz w:val="24"/>
          <w:szCs w:val="24"/>
        </w:rPr>
        <w:t>X</w:t>
      </w:r>
      <w:r w:rsidRPr="00950DB6">
        <w:rPr>
          <w:rFonts w:hint="cs"/>
          <w:color w:val="0070C0"/>
          <w:sz w:val="24"/>
          <w:szCs w:val="24"/>
          <w:rtl/>
        </w:rPr>
        <w:t xml:space="preserve">3 + </w:t>
      </w:r>
      <w:r w:rsidRPr="00950DB6">
        <w:rPr>
          <w:color w:val="0070C0"/>
          <w:sz w:val="24"/>
          <w:szCs w:val="24"/>
        </w:rPr>
        <w:t>X</w:t>
      </w:r>
      <w:r w:rsidRPr="00950DB6">
        <w:rPr>
          <w:rFonts w:hint="cs"/>
          <w:color w:val="0070C0"/>
          <w:sz w:val="24"/>
          <w:szCs w:val="24"/>
          <w:rtl/>
        </w:rPr>
        <w:t>4</w:t>
      </w:r>
    </w:p>
    <w:p w:rsidR="00856404" w:rsidRDefault="00856404" w:rsidP="00856404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شكِّل تابع الهدف ثم شكِّل القيود واوجد الحل باستخدام </w:t>
      </w:r>
      <w:r>
        <w:rPr>
          <w:sz w:val="24"/>
          <w:szCs w:val="24"/>
        </w:rPr>
        <w:t>Solver</w:t>
      </w:r>
      <w:r>
        <w:rPr>
          <w:rFonts w:hint="cs"/>
          <w:sz w:val="24"/>
          <w:szCs w:val="24"/>
          <w:rtl/>
        </w:rPr>
        <w:t xml:space="preserve"> في برنامج </w:t>
      </w:r>
      <w:proofErr w:type="spellStart"/>
      <w:r>
        <w:rPr>
          <w:rFonts w:hint="cs"/>
          <w:sz w:val="24"/>
          <w:szCs w:val="24"/>
          <w:rtl/>
        </w:rPr>
        <w:t>إكسل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581E97" w:rsidRDefault="00581E97"/>
    <w:sectPr w:rsidR="00581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4"/>
    <w:rsid w:val="00581E97"/>
    <w:rsid w:val="008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Badawi</dc:creator>
  <cp:lastModifiedBy>Maher Badawi</cp:lastModifiedBy>
  <cp:revision>1</cp:revision>
  <dcterms:created xsi:type="dcterms:W3CDTF">2014-03-13T06:16:00Z</dcterms:created>
  <dcterms:modified xsi:type="dcterms:W3CDTF">2014-03-13T06:18:00Z</dcterms:modified>
</cp:coreProperties>
</file>