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</w:t>
      </w:r>
      <w:r>
        <w:rPr>
          <w:b/>
          <w:sz w:val="28"/>
          <w:szCs w:val="28"/>
          <w:lang w:val="en-GB"/>
        </w:rPr>
        <w:t xml:space="preserve"> Methods</w:t>
      </w:r>
      <w:r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  <w:lang w:val="en-GB"/>
        </w:rPr>
        <w:t xml:space="preserve"> Applied Linguistics</w:t>
      </w:r>
      <w:r>
        <w:rPr>
          <w:b/>
          <w:sz w:val="28"/>
          <w:szCs w:val="28"/>
        </w:rPr>
        <w:t xml:space="preserve">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Eng. 527 </w:t>
      </w:r>
    </w:p>
    <w:p/>
    <w:p>
      <w:r>
        <w:rPr>
          <w:b/>
        </w:rPr>
        <w:t>Instructor</w:t>
      </w:r>
      <w:r>
        <w:t xml:space="preserve">: </w:t>
      </w:r>
      <w:r>
        <w:rPr>
          <w:lang w:val="en-GB"/>
        </w:rPr>
        <w:t>Mufleh Alqahtani</w:t>
      </w:r>
      <w:r>
        <w:t xml:space="preserve"> </w:t>
      </w:r>
    </w:p>
    <w:p>
      <w:pPr>
        <w:rPr>
          <w:lang w:val="en-GB"/>
        </w:rPr>
      </w:pPr>
      <w:r>
        <w:rPr>
          <w:b/>
        </w:rPr>
        <w:t>Email</w:t>
      </w:r>
      <w:r>
        <w:t xml:space="preserve">:  </w:t>
      </w:r>
      <w:r>
        <w:rPr>
          <w:lang w:val="en-GB"/>
        </w:rPr>
        <w:fldChar w:fldCharType="begin"/>
      </w:r>
      <w:r>
        <w:rPr>
          <w:lang w:val="en-GB"/>
        </w:rPr>
        <w:instrText xml:space="preserve"> HYPERLINK "mailto:mqahtani1@ksu.edu.sa" </w:instrText>
      </w:r>
      <w:r>
        <w:rPr>
          <w:lang w:val="en-GB"/>
        </w:rPr>
        <w:fldChar w:fldCharType="separate"/>
      </w:r>
      <w:r>
        <w:rPr>
          <w:rStyle w:val="3"/>
          <w:lang w:val="en-GB"/>
        </w:rPr>
        <w:t>mqahtani1@ksu.edu.sa</w:t>
      </w:r>
      <w:r>
        <w:rPr>
          <w:lang w:val="en-GB"/>
        </w:rPr>
        <w:fldChar w:fldCharType="end"/>
      </w:r>
    </w:p>
    <w:p>
      <w:r>
        <w:rPr>
          <w:b/>
        </w:rPr>
        <w:t>Textbook</w:t>
      </w:r>
      <w:r>
        <w:t>: Exploring Research by Neil J. Salkind , 7</w:t>
      </w:r>
      <w:r>
        <w:rPr>
          <w:vertAlign w:val="superscript"/>
        </w:rPr>
        <w:t>th</w:t>
      </w:r>
      <w:r>
        <w:t xml:space="preserve"> edition. </w:t>
      </w:r>
    </w:p>
    <w:p>
      <w:pPr>
        <w:jc w:val="both"/>
      </w:pPr>
      <w:r>
        <w:rPr>
          <w:b/>
        </w:rPr>
        <w:t>Course Description</w:t>
      </w:r>
      <w:r>
        <w:t>:</w:t>
      </w:r>
      <w:r>
        <w:rPr>
          <w:sz w:val="20"/>
          <w:szCs w:val="20"/>
        </w:rPr>
        <w:t xml:space="preserve"> The general aim of this course is to give the students the necessary knowledge and skills for conducting research in educational linguistics</w:t>
      </w:r>
      <w:r>
        <w:rPr>
          <w:sz w:val="20"/>
          <w:szCs w:val="20"/>
          <w:lang w:val="en-GB"/>
        </w:rPr>
        <w:t xml:space="preserve"> (Applied Linguistics)</w:t>
      </w:r>
      <w:r>
        <w:rPr>
          <w:sz w:val="20"/>
          <w:szCs w:val="20"/>
        </w:rPr>
        <w:t>. To achieve this aim, the course will deal with the following general areas: 1-The concept of research and its relationship to reasoning and science; 2-Modes of research and the scientific methods;3-Types of variables in research; 4-Elementry descriptive and inferential statistics;5-Measurements; 6-Writing a paper/thesis ; 7-The use of computer in research; 8-Evaluating research</w:t>
      </w:r>
      <w:r>
        <w:rPr>
          <w:sz w:val="20"/>
          <w:szCs w:val="20"/>
          <w:lang w:val="en-US"/>
        </w:rPr>
        <w:t xml:space="preserve">. </w:t>
      </w:r>
      <w:bookmarkStart w:id="0" w:name="_GoBack"/>
      <w:bookmarkEnd w:id="0"/>
      <w:r>
        <w:t xml:space="preserve"> </w:t>
      </w:r>
    </w:p>
    <w:p>
      <w:r>
        <w:rPr>
          <w:b/>
        </w:rPr>
        <w:t>Requirements</w:t>
      </w:r>
      <w:r>
        <w:t xml:space="preserve">: </w:t>
      </w:r>
    </w:p>
    <w:p>
      <w:pPr>
        <w:numPr>
          <w:ilvl w:val="0"/>
          <w:numId w:val="1"/>
        </w:numPr>
      </w:pPr>
      <w:r>
        <w:t>Do all readings</w:t>
      </w:r>
    </w:p>
    <w:p>
      <w:pPr>
        <w:numPr>
          <w:ilvl w:val="0"/>
          <w:numId w:val="1"/>
        </w:numPr>
      </w:pPr>
      <w:r>
        <w:t>Participate in class discussion</w:t>
      </w:r>
    </w:p>
    <w:p>
      <w:pPr>
        <w:numPr>
          <w:ilvl w:val="0"/>
          <w:numId w:val="1"/>
        </w:numPr>
      </w:pPr>
      <w:r>
        <w:t xml:space="preserve">Take the mid-term and final exams </w:t>
      </w:r>
    </w:p>
    <w:p>
      <w:pPr>
        <w:numPr>
          <w:ilvl w:val="0"/>
          <w:numId w:val="1"/>
        </w:numPr>
      </w:pPr>
      <w:r>
        <w:t xml:space="preserve">Submit the final project </w:t>
      </w:r>
    </w:p>
    <w:p/>
    <w:tbl>
      <w:tblPr>
        <w:tblStyle w:val="4"/>
        <w:tblpPr w:leftFromText="180" w:rightFromText="180" w:vertAnchor="page" w:horzAnchor="page" w:tblpX="3089" w:tblpY="6372"/>
        <w:tblW w:w="6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79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18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0E0E0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279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0E0E0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25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0E0E0"/>
            <w:vAlign w:val="bottom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tcBorders>
              <w:top w:val="double" w:color="auto" w:sz="4" w:space="0"/>
            </w:tcBorders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doub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and Importance of Research</w:t>
            </w:r>
          </w:p>
        </w:tc>
        <w:tc>
          <w:tcPr>
            <w:tcW w:w="2250" w:type="dxa"/>
            <w:tcBorders>
              <w:top w:val="double" w:color="auto" w:sz="4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Research Process: Coming to Terms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Selecting a problem and Reviewing the Research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Sampling and Generalizability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Measurement, Reliability, and Validity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Midterm Exam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Methods of Measuring Behavior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Collection and Descriptive Statistics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  <w:r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</w:rPr>
              <w:t xml:space="preserve">experimental Research Methods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draft of proposals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Experimental Research Methods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a Research Proposal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Introduction to SPSS 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Guest speaker!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Presentations by students 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Projects Due!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188" w:type="dxa"/>
            <w:shd w:val="clear" w:color="auto" w:fill="auto"/>
            <w:vAlign w:val="bottom"/>
          </w:tcPr>
          <w:p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  <w:vAlign w:val="bottom"/>
          </w:tcPr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Final Exam</w:t>
            </w:r>
          </w:p>
        </w:tc>
        <w:tc>
          <w:tcPr>
            <w:tcW w:w="2250" w:type="dxa"/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>
      <w:r>
        <w:rPr>
          <w:b/>
          <w:lang w:val="en-GB"/>
        </w:rPr>
        <w:t>Distribution of Marks</w:t>
      </w:r>
      <w:r>
        <w:t xml:space="preserve">: </w:t>
      </w:r>
    </w:p>
    <w:p>
      <w:pPr>
        <w:rPr>
          <w:lang w:val="en-GB"/>
        </w:rPr>
      </w:pPr>
      <w:r>
        <w:rPr>
          <w:lang w:val="en-GB"/>
        </w:rPr>
        <w:t>Assignments:   10%</w:t>
      </w:r>
    </w:p>
    <w:p>
      <w:pPr>
        <w:rPr>
          <w:lang w:val="en-GB"/>
        </w:rPr>
      </w:pPr>
      <w:r>
        <w:rPr>
          <w:lang w:val="en-GB"/>
        </w:rPr>
        <w:t>Midterm Exam: 20%</w:t>
      </w:r>
    </w:p>
    <w:p>
      <w:pPr>
        <w:rPr>
          <w:lang w:val="en-GB"/>
        </w:rPr>
      </w:pPr>
      <w:r>
        <w:rPr>
          <w:lang w:val="en-GB"/>
        </w:rPr>
        <w:t>Presentations by students: 10%</w:t>
      </w:r>
    </w:p>
    <w:p>
      <w:pPr>
        <w:rPr>
          <w:lang w:val="en-GB"/>
        </w:rPr>
      </w:pPr>
      <w:r>
        <w:rPr>
          <w:lang w:val="en-GB"/>
        </w:rPr>
        <w:t>Final Project (Research Plan or Proposal): 20%</w:t>
      </w:r>
    </w:p>
    <w:p>
      <w:pPr>
        <w:rPr>
          <w:lang w:val="en-GB"/>
        </w:rPr>
      </w:pPr>
      <w:r>
        <w:rPr>
          <w:lang w:val="en-GB"/>
        </w:rPr>
        <w:t>Final Exam: 40%</w:t>
      </w:r>
    </w:p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84E03"/>
    <w:multiLevelType w:val="multilevel"/>
    <w:tmpl w:val="24C84E03"/>
    <w:lvl w:ilvl="0" w:tentative="0">
      <w:start w:val="1"/>
      <w:numFmt w:val="decimal"/>
      <w:lvlText w:val="%1."/>
      <w:lvlJc w:val="left"/>
      <w:pPr>
        <w:tabs>
          <w:tab w:val="left" w:pos="990"/>
        </w:tabs>
        <w:ind w:left="99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710"/>
        </w:tabs>
        <w:ind w:left="171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430"/>
        </w:tabs>
        <w:ind w:left="2430" w:hanging="180"/>
      </w:pPr>
    </w:lvl>
    <w:lvl w:ilvl="3" w:tentative="0">
      <w:start w:val="1"/>
      <w:numFmt w:val="decimal"/>
      <w:lvlText w:val="%4."/>
      <w:lvlJc w:val="left"/>
      <w:pPr>
        <w:tabs>
          <w:tab w:val="left" w:pos="3150"/>
        </w:tabs>
        <w:ind w:left="315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870"/>
        </w:tabs>
        <w:ind w:left="387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590"/>
        </w:tabs>
        <w:ind w:left="4590" w:hanging="180"/>
      </w:pPr>
    </w:lvl>
    <w:lvl w:ilvl="6" w:tentative="0">
      <w:start w:val="1"/>
      <w:numFmt w:val="decimal"/>
      <w:lvlText w:val="%7."/>
      <w:lvlJc w:val="left"/>
      <w:pPr>
        <w:tabs>
          <w:tab w:val="left" w:pos="5310"/>
        </w:tabs>
        <w:ind w:left="531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030"/>
        </w:tabs>
        <w:ind w:left="603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750"/>
        </w:tabs>
        <w:ind w:left="6750" w:hanging="180"/>
      </w:pPr>
    </w:lvl>
  </w:abstractNum>
  <w:abstractNum w:abstractNumId="1">
    <w:nsid w:val="77C33431"/>
    <w:multiLevelType w:val="multilevel"/>
    <w:tmpl w:val="77C33431"/>
    <w:lvl w:ilvl="0" w:tentative="0">
      <w:start w:val="1"/>
      <w:numFmt w:val="decimal"/>
      <w:lvlText w:val="%1."/>
      <w:lvlJc w:val="left"/>
      <w:pPr>
        <w:tabs>
          <w:tab w:val="left" w:pos="990"/>
        </w:tabs>
        <w:ind w:left="990" w:hanging="360"/>
      </w:pPr>
      <w:rPr>
        <w:b/>
        <w:bCs w:val="0"/>
        <w:i w:val="0"/>
        <w:iCs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BA"/>
    <w:rsid w:val="001564F2"/>
    <w:rsid w:val="002855B4"/>
    <w:rsid w:val="002E3FC4"/>
    <w:rsid w:val="003219A0"/>
    <w:rsid w:val="0050177E"/>
    <w:rsid w:val="005D48F9"/>
    <w:rsid w:val="005E6940"/>
    <w:rsid w:val="00677D34"/>
    <w:rsid w:val="00736CA8"/>
    <w:rsid w:val="00956742"/>
    <w:rsid w:val="00983571"/>
    <w:rsid w:val="009A6BAE"/>
    <w:rsid w:val="009E6B51"/>
    <w:rsid w:val="00BB0129"/>
    <w:rsid w:val="00D3077A"/>
    <w:rsid w:val="00D37874"/>
    <w:rsid w:val="00D9456C"/>
    <w:rsid w:val="00F17C2E"/>
    <w:rsid w:val="00F54B79"/>
    <w:rsid w:val="06244C21"/>
    <w:rsid w:val="215933B7"/>
    <w:rsid w:val="25C10F21"/>
    <w:rsid w:val="79641E80"/>
    <w:rsid w:val="7E4713D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87D529-2382-E546-B347-7B649E738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1264</Characters>
  <Lines>10</Lines>
  <Paragraphs>2</Paragraphs>
  <ScaleCrop>false</ScaleCrop>
  <LinksUpToDate>false</LinksUpToDate>
  <CharactersWithSpaces>1483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2017-02-17T11:27:00Z</dcterms:created>
  <dc:creator>F</dc:creator>
  <cp:lastModifiedBy>MUFLEH</cp:lastModifiedBy>
  <dcterms:modified xsi:type="dcterms:W3CDTF">2017-06-03T01:18:04Z</dcterms:modified>
  <dc:title>Week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1033-10.1.0.5783</vt:lpwstr>
  </property>
</Properties>
</file>