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2B" w:rsidRPr="00C264FB" w:rsidRDefault="00FB492B" w:rsidP="00FB492B">
      <w:pPr>
        <w:ind w:left="284"/>
        <w:jc w:val="center"/>
        <w:outlineLvl w:val="0"/>
        <w:rPr>
          <w:rFonts w:ascii="CooperBlack" w:hAnsi="CooperBlack"/>
          <w:color w:val="000090"/>
        </w:rPr>
      </w:pPr>
      <w:r>
        <w:rPr>
          <w:rFonts w:ascii="CooperBlack" w:hAnsi="CooperBlack"/>
          <w:sz w:val="28"/>
        </w:rPr>
        <w:t>PROGNOSIS</w:t>
      </w:r>
      <w:r w:rsidRPr="00C264FB">
        <w:rPr>
          <w:rFonts w:ascii="CooperBlack" w:hAnsi="CooperBlack"/>
          <w:sz w:val="28"/>
        </w:rPr>
        <w:t xml:space="preserve"> CLASSIFICATION</w:t>
      </w:r>
    </w:p>
    <w:p w:rsidR="00FB492B" w:rsidRDefault="00FB492B" w:rsidP="00FB492B">
      <w:r>
        <w:rPr>
          <w:rFonts w:ascii="CooperBlack" w:hAnsi="CooperBlack"/>
          <w:sz w:val="28"/>
        </w:rPr>
        <w:t xml:space="preserve">                                              </w:t>
      </w:r>
      <w:bookmarkStart w:id="0" w:name="_GoBack"/>
      <w:bookmarkEnd w:id="0"/>
      <w:r w:rsidRPr="00484BA8">
        <w:rPr>
          <w:rFonts w:ascii="CooperBlack" w:hAnsi="CooperBlack"/>
          <w:sz w:val="28"/>
        </w:rPr>
        <w:t>McGuire &amp; Nunn, 1996</w:t>
      </w:r>
    </w:p>
    <w:tbl>
      <w:tblPr>
        <w:tblpPr w:leftFromText="180" w:rightFromText="180" w:vertAnchor="page" w:horzAnchor="page" w:tblpX="1369" w:tblpY="1981"/>
        <w:tblW w:w="1002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368"/>
      </w:tblGrid>
      <w:tr w:rsidR="00FB492B" w:rsidRPr="00C264FB" w:rsidTr="00FB492B">
        <w:trPr>
          <w:trHeight w:val="2498"/>
        </w:trPr>
        <w:tc>
          <w:tcPr>
            <w:tcW w:w="2660" w:type="dxa"/>
            <w:tcBorders>
              <w:bottom w:val="threeDEmboss" w:sz="12" w:space="0" w:color="auto"/>
            </w:tcBorders>
            <w:vAlign w:val="center"/>
          </w:tcPr>
          <w:p w:rsidR="00FB492B" w:rsidRPr="00484BA8" w:rsidRDefault="00FB492B" w:rsidP="00FB492B">
            <w:pPr>
              <w:jc w:val="center"/>
              <w:rPr>
                <w:rFonts w:ascii="CooperBlack" w:hAnsi="CooperBlack"/>
                <w:bCs/>
                <w:color w:val="000080"/>
                <w:szCs w:val="18"/>
              </w:rPr>
            </w:pPr>
            <w:r w:rsidRPr="00484BA8">
              <w:rPr>
                <w:rFonts w:ascii="CooperBlack" w:hAnsi="CooperBlack"/>
                <w:bCs/>
                <w:color w:val="000080"/>
                <w:szCs w:val="18"/>
              </w:rPr>
              <w:t>GOOD</w:t>
            </w:r>
          </w:p>
        </w:tc>
        <w:tc>
          <w:tcPr>
            <w:tcW w:w="7368" w:type="dxa"/>
            <w:tcBorders>
              <w:bottom w:val="threeDEmboss" w:sz="12" w:space="0" w:color="auto"/>
            </w:tcBorders>
            <w:vAlign w:val="center"/>
          </w:tcPr>
          <w:p w:rsidR="00FB492B" w:rsidRPr="00484BA8" w:rsidRDefault="00FB492B" w:rsidP="00FB492B">
            <w:pPr>
              <w:jc w:val="center"/>
              <w:rPr>
                <w:rFonts w:ascii="CooperBlack" w:hAnsi="CooperBlack"/>
                <w:bCs/>
                <w:color w:val="000080"/>
                <w:szCs w:val="20"/>
              </w:rPr>
            </w:pPr>
            <w:r w:rsidRPr="00484BA8">
              <w:rPr>
                <w:rFonts w:ascii="CooperBlack" w:hAnsi="CooperBlack"/>
                <w:bCs/>
                <w:color w:val="000080"/>
                <w:szCs w:val="20"/>
              </w:rPr>
              <w:t xml:space="preserve">Control of the etiologic factors and adequate periodontal support as measured clinically and </w:t>
            </w:r>
            <w:proofErr w:type="spellStart"/>
            <w:r w:rsidRPr="00484BA8">
              <w:rPr>
                <w:rFonts w:ascii="CooperBlack" w:hAnsi="CooperBlack"/>
                <w:bCs/>
                <w:color w:val="000080"/>
                <w:szCs w:val="20"/>
              </w:rPr>
              <w:t>radiographically</w:t>
            </w:r>
            <w:proofErr w:type="spellEnd"/>
            <w:r w:rsidRPr="00484BA8">
              <w:rPr>
                <w:rFonts w:ascii="CooperBlack" w:hAnsi="CooperBlack"/>
                <w:bCs/>
                <w:color w:val="000080"/>
                <w:szCs w:val="20"/>
              </w:rPr>
              <w:t xml:space="preserve"> to ensure the tooth would be relatively easy to maintain by the patient and clinician assuming proper maintenance</w:t>
            </w:r>
          </w:p>
        </w:tc>
      </w:tr>
      <w:tr w:rsidR="00FB492B" w:rsidRPr="00C264FB" w:rsidTr="00FB492B">
        <w:trPr>
          <w:trHeight w:val="1507"/>
        </w:trPr>
        <w:tc>
          <w:tcPr>
            <w:tcW w:w="2660" w:type="dxa"/>
            <w:tcBorders>
              <w:bottom w:val="threeDEmboss" w:sz="12" w:space="0" w:color="auto"/>
            </w:tcBorders>
            <w:vAlign w:val="center"/>
          </w:tcPr>
          <w:p w:rsidR="00FB492B" w:rsidRPr="00484BA8" w:rsidRDefault="00FB492B" w:rsidP="00FB492B">
            <w:pPr>
              <w:jc w:val="center"/>
              <w:rPr>
                <w:rFonts w:ascii="CooperBlack" w:hAnsi="CooperBlack"/>
                <w:bCs/>
                <w:color w:val="000080"/>
                <w:szCs w:val="18"/>
              </w:rPr>
            </w:pPr>
            <w:r w:rsidRPr="00484BA8">
              <w:rPr>
                <w:rFonts w:ascii="CooperBlack" w:hAnsi="CooperBlack"/>
                <w:bCs/>
                <w:color w:val="000080"/>
                <w:szCs w:val="18"/>
              </w:rPr>
              <w:t>FAIR</w:t>
            </w:r>
          </w:p>
        </w:tc>
        <w:tc>
          <w:tcPr>
            <w:tcW w:w="7368" w:type="dxa"/>
            <w:tcBorders>
              <w:bottom w:val="threeDEmboss" w:sz="12" w:space="0" w:color="auto"/>
            </w:tcBorders>
            <w:vAlign w:val="center"/>
          </w:tcPr>
          <w:p w:rsidR="00FB492B" w:rsidRPr="00484BA8" w:rsidRDefault="00FB492B" w:rsidP="00FB492B">
            <w:pPr>
              <w:rPr>
                <w:rFonts w:ascii="CooperBlack" w:hAnsi="CooperBlack"/>
                <w:bCs/>
                <w:color w:val="000080"/>
                <w:szCs w:val="20"/>
              </w:rPr>
            </w:pPr>
            <w:r w:rsidRPr="00484BA8">
              <w:rPr>
                <w:rFonts w:ascii="CooperBlack" w:hAnsi="CooperBlack"/>
                <w:bCs/>
                <w:color w:val="000080"/>
                <w:szCs w:val="20"/>
              </w:rPr>
              <w:t xml:space="preserve">Approximately 25% attachment loss as measured clinically and </w:t>
            </w:r>
            <w:proofErr w:type="spellStart"/>
            <w:r w:rsidRPr="00484BA8">
              <w:rPr>
                <w:rFonts w:ascii="CooperBlack" w:hAnsi="CooperBlack"/>
                <w:bCs/>
                <w:color w:val="000080"/>
                <w:szCs w:val="20"/>
              </w:rPr>
              <w:t>radiographically</w:t>
            </w:r>
            <w:proofErr w:type="spellEnd"/>
            <w:r w:rsidRPr="00484BA8">
              <w:rPr>
                <w:rFonts w:ascii="CooperBlack" w:hAnsi="CooperBlack"/>
                <w:bCs/>
                <w:color w:val="000080"/>
                <w:szCs w:val="20"/>
              </w:rPr>
              <w:t xml:space="preserve"> and/or class I furcation involvement.</w:t>
            </w:r>
          </w:p>
          <w:p w:rsidR="00FB492B" w:rsidRPr="00484BA8" w:rsidRDefault="00FB492B" w:rsidP="00FB492B">
            <w:pPr>
              <w:rPr>
                <w:rFonts w:ascii="CooperBlack" w:hAnsi="CooperBlack"/>
                <w:bCs/>
                <w:color w:val="000080"/>
                <w:szCs w:val="20"/>
              </w:rPr>
            </w:pPr>
          </w:p>
          <w:p w:rsidR="00FB492B" w:rsidRPr="00484BA8" w:rsidRDefault="00FB492B" w:rsidP="00FB492B">
            <w:pPr>
              <w:rPr>
                <w:rFonts w:ascii="CooperBlack" w:hAnsi="CooperBlack"/>
                <w:bCs/>
                <w:color w:val="000080"/>
                <w:szCs w:val="20"/>
              </w:rPr>
            </w:pPr>
            <w:r w:rsidRPr="00484BA8">
              <w:rPr>
                <w:rFonts w:ascii="CooperBlack" w:hAnsi="CooperBlack"/>
                <w:bCs/>
                <w:color w:val="000080"/>
                <w:szCs w:val="20"/>
              </w:rPr>
              <w:t>The location and depth of the furcation would allow proper maintenance with good patient compliance.</w:t>
            </w:r>
          </w:p>
          <w:p w:rsidR="00FB492B" w:rsidRPr="00484BA8" w:rsidRDefault="00FB492B" w:rsidP="00FB492B">
            <w:pPr>
              <w:rPr>
                <w:rFonts w:ascii="CooperBlack" w:hAnsi="CooperBlack"/>
                <w:bCs/>
                <w:color w:val="000080"/>
                <w:szCs w:val="20"/>
              </w:rPr>
            </w:pPr>
          </w:p>
        </w:tc>
      </w:tr>
      <w:tr w:rsidR="00FB492B" w:rsidRPr="00C264FB" w:rsidTr="00FB492B">
        <w:trPr>
          <w:trHeight w:val="567"/>
        </w:trPr>
        <w:tc>
          <w:tcPr>
            <w:tcW w:w="2660" w:type="dxa"/>
            <w:tcBorders>
              <w:bottom w:val="threeDEmboss" w:sz="12" w:space="0" w:color="auto"/>
            </w:tcBorders>
            <w:vAlign w:val="center"/>
          </w:tcPr>
          <w:p w:rsidR="00FB492B" w:rsidRPr="00484BA8" w:rsidRDefault="00FB492B" w:rsidP="00FB492B">
            <w:pPr>
              <w:jc w:val="center"/>
              <w:rPr>
                <w:rFonts w:ascii="CooperBlack" w:hAnsi="CooperBlack"/>
                <w:bCs/>
                <w:color w:val="000080"/>
                <w:szCs w:val="18"/>
              </w:rPr>
            </w:pPr>
            <w:r w:rsidRPr="00484BA8">
              <w:rPr>
                <w:rFonts w:ascii="CooperBlack" w:hAnsi="CooperBlack"/>
                <w:bCs/>
                <w:color w:val="000080"/>
                <w:szCs w:val="18"/>
              </w:rPr>
              <w:t>POOR</w:t>
            </w:r>
          </w:p>
        </w:tc>
        <w:tc>
          <w:tcPr>
            <w:tcW w:w="7368" w:type="dxa"/>
            <w:tcBorders>
              <w:bottom w:val="threeDEmboss" w:sz="12" w:space="0" w:color="auto"/>
            </w:tcBorders>
            <w:shd w:val="clear" w:color="auto" w:fill="auto"/>
            <w:vAlign w:val="center"/>
          </w:tcPr>
          <w:p w:rsidR="00FB492B" w:rsidRPr="00484BA8" w:rsidRDefault="00FB492B" w:rsidP="00FB492B">
            <w:pPr>
              <w:rPr>
                <w:rFonts w:ascii="CooperBlack" w:hAnsi="CooperBlack"/>
                <w:bCs/>
                <w:color w:val="000080"/>
                <w:szCs w:val="20"/>
              </w:rPr>
            </w:pPr>
            <w:r w:rsidRPr="00484BA8">
              <w:rPr>
                <w:rFonts w:ascii="CooperBlack" w:hAnsi="CooperBlack"/>
                <w:bCs/>
                <w:color w:val="000080"/>
                <w:szCs w:val="20"/>
              </w:rPr>
              <w:t xml:space="preserve">50% attachment loss and/or class II </w:t>
            </w:r>
            <w:proofErr w:type="spellStart"/>
            <w:r w:rsidRPr="00484BA8">
              <w:rPr>
                <w:rFonts w:ascii="CooperBlack" w:hAnsi="CooperBlack"/>
                <w:bCs/>
                <w:color w:val="000080"/>
                <w:szCs w:val="20"/>
              </w:rPr>
              <w:t>furcations</w:t>
            </w:r>
            <w:proofErr w:type="spellEnd"/>
            <w:r w:rsidRPr="00484BA8">
              <w:rPr>
                <w:rFonts w:ascii="CooperBlack" w:hAnsi="CooperBlack"/>
                <w:bCs/>
                <w:color w:val="000080"/>
                <w:szCs w:val="20"/>
              </w:rPr>
              <w:t xml:space="preserve">.  </w:t>
            </w:r>
          </w:p>
          <w:p w:rsidR="00FB492B" w:rsidRPr="00484BA8" w:rsidRDefault="00FB492B" w:rsidP="00FB492B">
            <w:pPr>
              <w:rPr>
                <w:rFonts w:ascii="CooperBlack" w:hAnsi="CooperBlack"/>
                <w:bCs/>
                <w:color w:val="000080"/>
                <w:szCs w:val="20"/>
              </w:rPr>
            </w:pPr>
          </w:p>
          <w:p w:rsidR="00FB492B" w:rsidRPr="00484BA8" w:rsidRDefault="00FB492B" w:rsidP="00FB492B">
            <w:pPr>
              <w:rPr>
                <w:rFonts w:ascii="CooperBlack" w:hAnsi="CooperBlack"/>
                <w:bCs/>
                <w:color w:val="000080"/>
                <w:szCs w:val="20"/>
              </w:rPr>
            </w:pPr>
            <w:r w:rsidRPr="00484BA8">
              <w:rPr>
                <w:rFonts w:ascii="CooperBlack" w:hAnsi="CooperBlack"/>
                <w:bCs/>
                <w:color w:val="000080"/>
                <w:szCs w:val="20"/>
              </w:rPr>
              <w:t xml:space="preserve">The location and depth of the </w:t>
            </w:r>
            <w:proofErr w:type="spellStart"/>
            <w:r w:rsidRPr="00484BA8">
              <w:rPr>
                <w:rFonts w:ascii="CooperBlack" w:hAnsi="CooperBlack"/>
                <w:bCs/>
                <w:color w:val="000080"/>
                <w:szCs w:val="20"/>
              </w:rPr>
              <w:t>furcations</w:t>
            </w:r>
            <w:proofErr w:type="spellEnd"/>
            <w:r w:rsidRPr="00484BA8">
              <w:rPr>
                <w:rFonts w:ascii="CooperBlack" w:hAnsi="CooperBlack"/>
                <w:bCs/>
                <w:color w:val="000080"/>
                <w:szCs w:val="20"/>
              </w:rPr>
              <w:t xml:space="preserve"> would allow proper maintenance, but with difficulty.</w:t>
            </w:r>
          </w:p>
          <w:p w:rsidR="00FB492B" w:rsidRPr="00484BA8" w:rsidRDefault="00FB492B" w:rsidP="00FB492B">
            <w:pPr>
              <w:rPr>
                <w:rFonts w:ascii="CooperBlack" w:hAnsi="CooperBlack"/>
                <w:bCs/>
                <w:color w:val="000080"/>
                <w:szCs w:val="20"/>
              </w:rPr>
            </w:pPr>
          </w:p>
        </w:tc>
      </w:tr>
      <w:tr w:rsidR="00FB492B" w:rsidRPr="00C264FB" w:rsidTr="00FB492B">
        <w:trPr>
          <w:trHeight w:val="880"/>
        </w:trPr>
        <w:tc>
          <w:tcPr>
            <w:tcW w:w="2660" w:type="dxa"/>
            <w:tcBorders>
              <w:bottom w:val="threeDEmboss" w:sz="12" w:space="0" w:color="auto"/>
            </w:tcBorders>
            <w:vAlign w:val="center"/>
          </w:tcPr>
          <w:p w:rsidR="00FB492B" w:rsidRPr="00484BA8" w:rsidRDefault="00FB492B" w:rsidP="00FB492B">
            <w:pPr>
              <w:jc w:val="center"/>
              <w:rPr>
                <w:rFonts w:ascii="CooperBlack" w:hAnsi="CooperBlack"/>
                <w:bCs/>
                <w:color w:val="000080"/>
                <w:szCs w:val="18"/>
              </w:rPr>
            </w:pPr>
            <w:r w:rsidRPr="00484BA8">
              <w:rPr>
                <w:rFonts w:ascii="CooperBlack" w:hAnsi="CooperBlack"/>
                <w:bCs/>
                <w:color w:val="000080"/>
                <w:szCs w:val="18"/>
              </w:rPr>
              <w:t>QUESTIONABLE</w:t>
            </w:r>
          </w:p>
        </w:tc>
        <w:tc>
          <w:tcPr>
            <w:tcW w:w="7368" w:type="dxa"/>
            <w:tcBorders>
              <w:bottom w:val="threeDEmboss" w:sz="12" w:space="0" w:color="auto"/>
            </w:tcBorders>
            <w:shd w:val="clear" w:color="auto" w:fill="auto"/>
            <w:vAlign w:val="center"/>
          </w:tcPr>
          <w:p w:rsidR="00FB492B" w:rsidRPr="00484BA8" w:rsidRDefault="00FB492B" w:rsidP="00FB492B">
            <w:pPr>
              <w:rPr>
                <w:rFonts w:ascii="CooperBlack" w:hAnsi="CooperBlack"/>
                <w:bCs/>
                <w:color w:val="000080"/>
                <w:szCs w:val="20"/>
              </w:rPr>
            </w:pPr>
            <w:r w:rsidRPr="00484BA8">
              <w:rPr>
                <w:bCs/>
                <w:color w:val="000080"/>
                <w:szCs w:val="20"/>
              </w:rPr>
              <w:t>&gt;</w:t>
            </w:r>
            <w:r w:rsidRPr="00484BA8">
              <w:rPr>
                <w:rFonts w:ascii="CooperBlack" w:hAnsi="CooperBlack"/>
                <w:bCs/>
                <w:color w:val="000080"/>
                <w:szCs w:val="20"/>
              </w:rPr>
              <w:t xml:space="preserve">50% attachment loss resulting in a poor crown/root ratio. </w:t>
            </w:r>
          </w:p>
          <w:p w:rsidR="00FB492B" w:rsidRPr="00484BA8" w:rsidRDefault="00FB492B" w:rsidP="00FB492B">
            <w:pPr>
              <w:rPr>
                <w:rFonts w:ascii="CooperBlack" w:hAnsi="CooperBlack"/>
                <w:bCs/>
                <w:color w:val="000080"/>
                <w:szCs w:val="20"/>
              </w:rPr>
            </w:pPr>
            <w:r w:rsidRPr="00484BA8">
              <w:rPr>
                <w:rFonts w:ascii="CooperBlack" w:hAnsi="CooperBlack"/>
                <w:bCs/>
                <w:color w:val="000080"/>
                <w:szCs w:val="20"/>
              </w:rPr>
              <w:t xml:space="preserve"> </w:t>
            </w:r>
          </w:p>
          <w:p w:rsidR="00FB492B" w:rsidRPr="00484BA8" w:rsidRDefault="00FB492B" w:rsidP="00FB492B">
            <w:pPr>
              <w:rPr>
                <w:rFonts w:ascii="CooperBlack" w:hAnsi="CooperBlack"/>
                <w:bCs/>
                <w:color w:val="000080"/>
                <w:szCs w:val="20"/>
              </w:rPr>
            </w:pPr>
            <w:r w:rsidRPr="00484BA8">
              <w:rPr>
                <w:rFonts w:ascii="CooperBlack" w:hAnsi="CooperBlack"/>
                <w:bCs/>
                <w:color w:val="000080"/>
                <w:szCs w:val="20"/>
              </w:rPr>
              <w:t xml:space="preserve">Poor root form, class II </w:t>
            </w:r>
            <w:proofErr w:type="spellStart"/>
            <w:r w:rsidRPr="00484BA8">
              <w:rPr>
                <w:rFonts w:ascii="CooperBlack" w:hAnsi="CooperBlack"/>
                <w:bCs/>
                <w:color w:val="000080"/>
                <w:szCs w:val="20"/>
              </w:rPr>
              <w:t>furcations</w:t>
            </w:r>
            <w:proofErr w:type="spellEnd"/>
            <w:r w:rsidRPr="00484BA8">
              <w:rPr>
                <w:rFonts w:ascii="CooperBlack" w:hAnsi="CooperBlack"/>
                <w:bCs/>
                <w:color w:val="000080"/>
                <w:szCs w:val="20"/>
              </w:rPr>
              <w:t xml:space="preserve"> not easily accessible to maintenance care, or class III </w:t>
            </w:r>
            <w:proofErr w:type="spellStart"/>
            <w:r w:rsidRPr="00484BA8">
              <w:rPr>
                <w:rFonts w:ascii="CooperBlack" w:hAnsi="CooperBlack"/>
                <w:bCs/>
                <w:color w:val="000080"/>
                <w:szCs w:val="20"/>
              </w:rPr>
              <w:t>furcations</w:t>
            </w:r>
            <w:proofErr w:type="spellEnd"/>
            <w:r w:rsidRPr="00484BA8">
              <w:rPr>
                <w:rFonts w:ascii="CooperBlack" w:hAnsi="CooperBlack"/>
                <w:bCs/>
                <w:color w:val="000080"/>
                <w:szCs w:val="20"/>
              </w:rPr>
              <w:t>.</w:t>
            </w:r>
          </w:p>
          <w:p w:rsidR="00FB492B" w:rsidRPr="00484BA8" w:rsidRDefault="00FB492B" w:rsidP="00FB492B">
            <w:pPr>
              <w:rPr>
                <w:rFonts w:ascii="CooperBlack" w:hAnsi="CooperBlack"/>
                <w:bCs/>
                <w:color w:val="000080"/>
                <w:szCs w:val="20"/>
              </w:rPr>
            </w:pPr>
          </w:p>
          <w:p w:rsidR="00FB492B" w:rsidRPr="00484BA8" w:rsidRDefault="00FB492B" w:rsidP="00FB492B">
            <w:pPr>
              <w:rPr>
                <w:rFonts w:ascii="CooperBlack" w:hAnsi="CooperBlack"/>
                <w:bCs/>
                <w:color w:val="000080"/>
                <w:szCs w:val="20"/>
              </w:rPr>
            </w:pPr>
            <w:r w:rsidRPr="00484BA8">
              <w:rPr>
                <w:rFonts w:ascii="CooperBlack" w:hAnsi="CooperBlack"/>
                <w:bCs/>
                <w:color w:val="000080"/>
                <w:szCs w:val="20"/>
              </w:rPr>
              <w:t>≥2+ mobility.</w:t>
            </w:r>
          </w:p>
          <w:p w:rsidR="00FB492B" w:rsidRPr="00484BA8" w:rsidRDefault="00FB492B" w:rsidP="00FB492B">
            <w:pPr>
              <w:rPr>
                <w:rFonts w:ascii="CooperBlack" w:hAnsi="CooperBlack"/>
                <w:bCs/>
                <w:color w:val="000080"/>
                <w:szCs w:val="20"/>
              </w:rPr>
            </w:pPr>
          </w:p>
          <w:p w:rsidR="00FB492B" w:rsidRPr="00484BA8" w:rsidRDefault="00FB492B" w:rsidP="00FB492B">
            <w:pPr>
              <w:rPr>
                <w:rFonts w:ascii="CooperBlack" w:hAnsi="CooperBlack"/>
                <w:bCs/>
                <w:color w:val="000080"/>
                <w:szCs w:val="20"/>
              </w:rPr>
            </w:pPr>
            <w:r w:rsidRPr="00484BA8">
              <w:rPr>
                <w:rFonts w:ascii="CooperBlack" w:hAnsi="CooperBlack"/>
                <w:bCs/>
                <w:color w:val="000080"/>
                <w:szCs w:val="20"/>
              </w:rPr>
              <w:t>Significant root proximity.</w:t>
            </w:r>
          </w:p>
          <w:p w:rsidR="00FB492B" w:rsidRPr="00484BA8" w:rsidRDefault="00FB492B" w:rsidP="00FB492B">
            <w:pPr>
              <w:rPr>
                <w:rFonts w:ascii="CooperBlack" w:hAnsi="CooperBlack"/>
                <w:bCs/>
                <w:color w:val="000080"/>
                <w:szCs w:val="20"/>
              </w:rPr>
            </w:pPr>
          </w:p>
        </w:tc>
      </w:tr>
      <w:tr w:rsidR="00FB492B" w:rsidRPr="00C264FB" w:rsidTr="00FB492B">
        <w:trPr>
          <w:trHeight w:val="880"/>
        </w:trPr>
        <w:tc>
          <w:tcPr>
            <w:tcW w:w="2660" w:type="dxa"/>
            <w:tcBorders>
              <w:bottom w:val="threeDEmboss" w:sz="12" w:space="0" w:color="auto"/>
            </w:tcBorders>
            <w:vAlign w:val="center"/>
          </w:tcPr>
          <w:p w:rsidR="00FB492B" w:rsidRPr="00484BA8" w:rsidRDefault="00FB492B" w:rsidP="00FB492B">
            <w:pPr>
              <w:jc w:val="center"/>
              <w:rPr>
                <w:rFonts w:ascii="CooperBlack" w:hAnsi="CooperBlack"/>
                <w:bCs/>
                <w:color w:val="000080"/>
                <w:szCs w:val="18"/>
              </w:rPr>
            </w:pPr>
            <w:r w:rsidRPr="00484BA8">
              <w:rPr>
                <w:rFonts w:ascii="CooperBlack" w:hAnsi="CooperBlack"/>
                <w:bCs/>
                <w:color w:val="000080"/>
                <w:szCs w:val="18"/>
              </w:rPr>
              <w:t>HOPELESS</w:t>
            </w:r>
          </w:p>
        </w:tc>
        <w:tc>
          <w:tcPr>
            <w:tcW w:w="7368" w:type="dxa"/>
            <w:tcBorders>
              <w:bottom w:val="threeDEmboss" w:sz="12" w:space="0" w:color="auto"/>
            </w:tcBorders>
            <w:shd w:val="clear" w:color="auto" w:fill="auto"/>
            <w:vAlign w:val="center"/>
          </w:tcPr>
          <w:p w:rsidR="00FB492B" w:rsidRPr="00484BA8" w:rsidRDefault="00FB492B" w:rsidP="00FB492B">
            <w:pPr>
              <w:rPr>
                <w:rFonts w:ascii="CooperBlack" w:hAnsi="CooperBlack"/>
                <w:bCs/>
                <w:color w:val="000080"/>
                <w:szCs w:val="20"/>
              </w:rPr>
            </w:pPr>
            <w:r w:rsidRPr="00484BA8">
              <w:rPr>
                <w:rFonts w:ascii="CooperBlack" w:hAnsi="CooperBlack"/>
                <w:bCs/>
                <w:color w:val="000080"/>
                <w:szCs w:val="20"/>
              </w:rPr>
              <w:t>Inadequate attachment to maintain the tooth in health, comfort, and function.  Extraction is suggested.</w:t>
            </w:r>
          </w:p>
        </w:tc>
      </w:tr>
    </w:tbl>
    <w:p w:rsidR="00B437B7" w:rsidRPr="00FB492B" w:rsidRDefault="00B437B7" w:rsidP="00FB492B"/>
    <w:sectPr w:rsidR="00B437B7" w:rsidRPr="00FB492B" w:rsidSect="00FB492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operBlack">
    <w:altName w:val="Cooper Black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EE"/>
    <w:rsid w:val="00B437B7"/>
    <w:rsid w:val="00B702EE"/>
    <w:rsid w:val="00F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0A05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2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2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888</Characters>
  <Application>Microsoft Macintosh Word</Application>
  <DocSecurity>0</DocSecurity>
  <Lines>74</Lines>
  <Paragraphs>33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alsarhan</dc:creator>
  <cp:keywords/>
  <dc:description/>
  <cp:lastModifiedBy>mohammed alsarhan</cp:lastModifiedBy>
  <cp:revision>2</cp:revision>
  <dcterms:created xsi:type="dcterms:W3CDTF">2014-08-28T08:47:00Z</dcterms:created>
  <dcterms:modified xsi:type="dcterms:W3CDTF">2014-08-28T08:47:00Z</dcterms:modified>
</cp:coreProperties>
</file>