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8B7" w:rsidRPr="007C68B7" w:rsidRDefault="007C68B7" w:rsidP="007C68B7">
      <w:pPr>
        <w:spacing w:after="100" w:line="240" w:lineRule="auto"/>
        <w:ind w:left="-2" w:firstLine="567"/>
        <w:jc w:val="center"/>
        <w:rPr>
          <w:rFonts w:ascii="Times New Roman" w:eastAsia="Times New Roman" w:hAnsi="Times New Roman" w:cs="AL-Mateen"/>
          <w:noProof/>
          <w:sz w:val="44"/>
          <w:szCs w:val="40"/>
          <w:rtl/>
        </w:rPr>
      </w:pPr>
      <w:r w:rsidRPr="007C68B7">
        <w:rPr>
          <w:rFonts w:ascii="Times New Roman" w:eastAsia="Times New Roman" w:hAnsi="Times New Roman" w:cs="AL-Mateen" w:hint="cs"/>
          <w:noProof/>
          <w:sz w:val="44"/>
          <w:szCs w:val="40"/>
          <w:rtl/>
        </w:rPr>
        <w:t>ملخص الرسالة باللغة العربية</w:t>
      </w:r>
    </w:p>
    <w:p w:rsidR="007C68B7" w:rsidRPr="007C68B7" w:rsidRDefault="007C68B7" w:rsidP="00AF1D22">
      <w:pPr>
        <w:widowControl w:val="0"/>
        <w:spacing w:line="240" w:lineRule="auto"/>
        <w:ind w:left="43" w:firstLine="567"/>
        <w:jc w:val="both"/>
        <w:rPr>
          <w:rFonts w:ascii="Traditional Arabic" w:eastAsia="Calibri" w:hAnsi="Traditional Arabic" w:cs="Traditional Arabic"/>
          <w:sz w:val="36"/>
          <w:szCs w:val="36"/>
          <w:rtl/>
        </w:rPr>
      </w:pPr>
      <w:r w:rsidRPr="007C68B7">
        <w:rPr>
          <w:rFonts w:ascii="Traditional Arabic" w:eastAsia="Calibri" w:hAnsi="Traditional Arabic" w:cs="Traditional Arabic" w:hint="cs"/>
          <w:sz w:val="36"/>
          <w:szCs w:val="36"/>
          <w:rtl/>
        </w:rPr>
        <w:t>الحمد لله رب العالمين، والصلاة والسلام على رسوله الأمين، وبعد..</w:t>
      </w:r>
    </w:p>
    <w:p w:rsidR="007C68B7" w:rsidRPr="007C68B7" w:rsidRDefault="007C68B7" w:rsidP="00AF1D22">
      <w:pPr>
        <w:widowControl w:val="0"/>
        <w:spacing w:line="240" w:lineRule="auto"/>
        <w:ind w:left="43" w:firstLine="567"/>
        <w:jc w:val="both"/>
        <w:rPr>
          <w:rFonts w:ascii="Traditional Arabic" w:eastAsia="Calibri" w:hAnsi="Traditional Arabic" w:cs="Traditional Arabic"/>
          <w:sz w:val="36"/>
          <w:szCs w:val="36"/>
          <w:rtl/>
        </w:rPr>
      </w:pPr>
      <w:r w:rsidRPr="007C68B7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فهذه رسالة مقدَّمة لقسم السنة وعلومها، بكلية أصول الدين، لنيل درجة الماجستير، بعنوان: </w:t>
      </w:r>
      <w:r w:rsidRPr="007C68B7">
        <w:rPr>
          <w:rFonts w:ascii="Traditional Arabic" w:eastAsia="Calibri" w:hAnsi="Traditional Arabic" w:cs="Traditional Arabic"/>
          <w:sz w:val="36"/>
          <w:szCs w:val="36"/>
          <w:rtl/>
        </w:rPr>
        <w:t>الأحاديث الم</w:t>
      </w:r>
      <w:r w:rsidRPr="007C68B7">
        <w:rPr>
          <w:rFonts w:ascii="Traditional Arabic" w:eastAsia="Calibri" w:hAnsi="Traditional Arabic" w:cs="Traditional Arabic" w:hint="cs"/>
          <w:sz w:val="36"/>
          <w:szCs w:val="36"/>
          <w:rtl/>
        </w:rPr>
        <w:t>رفوع</w:t>
      </w:r>
      <w:r w:rsidRPr="007C68B7">
        <w:rPr>
          <w:rFonts w:ascii="Traditional Arabic" w:eastAsia="Calibri" w:hAnsi="Traditional Arabic" w:cs="Traditional Arabic"/>
          <w:sz w:val="36"/>
          <w:szCs w:val="36"/>
          <w:rtl/>
        </w:rPr>
        <w:t xml:space="preserve">ة في كتاب </w:t>
      </w:r>
      <w:r w:rsidRPr="007C68B7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أخبار مكة لأبي الوليد الأزرقي، </w:t>
      </w:r>
      <w:r w:rsidRPr="007C68B7">
        <w:rPr>
          <w:rFonts w:ascii="Traditional Arabic" w:eastAsia="Calibri" w:hAnsi="Traditional Arabic" w:cs="Traditional Arabic"/>
          <w:sz w:val="36"/>
          <w:szCs w:val="36"/>
          <w:rtl/>
        </w:rPr>
        <w:t>تخريجاً ودراسةً</w:t>
      </w:r>
      <w:r w:rsidRPr="007C68B7">
        <w:rPr>
          <w:rFonts w:ascii="Traditional Arabic" w:eastAsia="Calibri" w:hAnsi="Traditional Arabic" w:cs="Traditional Arabic" w:hint="cs"/>
          <w:sz w:val="36"/>
          <w:szCs w:val="36"/>
          <w:rtl/>
        </w:rPr>
        <w:t>.</w:t>
      </w:r>
    </w:p>
    <w:p w:rsidR="007C68B7" w:rsidRPr="007C68B7" w:rsidRDefault="007C68B7" w:rsidP="00AF1D22">
      <w:pPr>
        <w:widowControl w:val="0"/>
        <w:spacing w:line="240" w:lineRule="auto"/>
        <w:ind w:left="43" w:firstLine="567"/>
        <w:jc w:val="both"/>
        <w:rPr>
          <w:rFonts w:ascii="Traditional Arabic" w:eastAsia="Calibri" w:hAnsi="Traditional Arabic" w:cs="Traditional Arabic"/>
          <w:sz w:val="36"/>
          <w:szCs w:val="36"/>
          <w:rtl/>
        </w:rPr>
      </w:pPr>
      <w:r w:rsidRPr="007C68B7">
        <w:rPr>
          <w:rFonts w:ascii="Traditional Arabic" w:eastAsia="Calibri" w:hAnsi="Traditional Arabic" w:cs="Traditional Arabic" w:hint="cs"/>
          <w:sz w:val="36"/>
          <w:szCs w:val="36"/>
          <w:rtl/>
        </w:rPr>
        <w:t>وقد اشتملت الرسالة على: مقدمة، وتمهيد، وقسمين، وخاتمة، وفهارس.</w:t>
      </w:r>
    </w:p>
    <w:p w:rsidR="007C68B7" w:rsidRPr="007C68B7" w:rsidRDefault="007C68B7" w:rsidP="00AF1D22">
      <w:pPr>
        <w:spacing w:line="240" w:lineRule="auto"/>
        <w:ind w:left="43" w:firstLine="96"/>
        <w:jc w:val="both"/>
        <w:rPr>
          <w:rFonts w:ascii="Traditional Arabic" w:eastAsia="Calibri" w:hAnsi="Traditional Arabic" w:cs="Traditional Arabic"/>
          <w:sz w:val="36"/>
          <w:szCs w:val="36"/>
          <w:rtl/>
        </w:rPr>
      </w:pPr>
      <w:r w:rsidRPr="007C68B7">
        <w:rPr>
          <w:rFonts w:ascii="Traditional Arabic" w:eastAsia="Calibri" w:hAnsi="Traditional Arabic" w:cs="Traditional Arabic"/>
          <w:sz w:val="36"/>
          <w:szCs w:val="36"/>
          <w:rtl/>
        </w:rPr>
        <w:t>المقدمة:</w:t>
      </w:r>
      <w:r w:rsidRPr="007C68B7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 وفيها أهمية الموضوع، وأسباب اختياره، وأهدافه، والدراسات السابقة، وعدد الأحاديث، وخطة البحث.</w:t>
      </w:r>
    </w:p>
    <w:p w:rsidR="007C68B7" w:rsidRPr="007C68B7" w:rsidRDefault="007C68B7" w:rsidP="00AF1D22">
      <w:pPr>
        <w:spacing w:line="240" w:lineRule="auto"/>
        <w:ind w:left="43" w:firstLine="96"/>
        <w:jc w:val="both"/>
        <w:rPr>
          <w:rFonts w:ascii="Traditional Arabic" w:eastAsia="Calibri" w:hAnsi="Traditional Arabic" w:cs="Traditional Arabic"/>
          <w:sz w:val="36"/>
          <w:szCs w:val="36"/>
          <w:rtl/>
        </w:rPr>
      </w:pPr>
      <w:r w:rsidRPr="007C68B7">
        <w:rPr>
          <w:rFonts w:ascii="Traditional Arabic" w:eastAsia="Calibri" w:hAnsi="Traditional Arabic" w:cs="Traditional Arabic" w:hint="cs"/>
          <w:sz w:val="36"/>
          <w:szCs w:val="36"/>
          <w:rtl/>
        </w:rPr>
        <w:t>التمهيد: وفيه ترجمة لأبي الوليد الأزرقي -رحمه الله-.</w:t>
      </w:r>
    </w:p>
    <w:p w:rsidR="007C68B7" w:rsidRPr="007C68B7" w:rsidRDefault="007C68B7" w:rsidP="00AF1D22">
      <w:pPr>
        <w:spacing w:line="240" w:lineRule="auto"/>
        <w:ind w:left="43" w:firstLine="96"/>
        <w:jc w:val="both"/>
        <w:rPr>
          <w:rFonts w:ascii="Traditional Arabic" w:eastAsia="Calibri" w:hAnsi="Traditional Arabic" w:cs="Traditional Arabic"/>
          <w:sz w:val="36"/>
          <w:szCs w:val="36"/>
          <w:rtl/>
        </w:rPr>
      </w:pPr>
      <w:r w:rsidRPr="007C68B7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القسم الأول: الدراسة النظرية: وفيه ثلاثة فصول. </w:t>
      </w:r>
    </w:p>
    <w:p w:rsidR="007C68B7" w:rsidRPr="007C68B7" w:rsidRDefault="007C68B7" w:rsidP="00AF1D22">
      <w:pPr>
        <w:spacing w:line="240" w:lineRule="auto"/>
        <w:ind w:left="43" w:firstLine="96"/>
        <w:jc w:val="both"/>
        <w:rPr>
          <w:rFonts w:ascii="Traditional Arabic" w:eastAsia="Calibri" w:hAnsi="Traditional Arabic" w:cs="Traditional Arabic"/>
          <w:sz w:val="36"/>
          <w:szCs w:val="36"/>
          <w:rtl/>
        </w:rPr>
      </w:pPr>
      <w:r w:rsidRPr="007C68B7">
        <w:rPr>
          <w:rFonts w:ascii="Traditional Arabic" w:eastAsia="Calibri" w:hAnsi="Traditional Arabic" w:cs="Traditional Arabic" w:hint="cs"/>
          <w:sz w:val="36"/>
          <w:szCs w:val="36"/>
          <w:rtl/>
        </w:rPr>
        <w:t>القسم الثاني: قسم الدراسة العملية: وفيه تخريج الأحاديث المرفوعة، ودراسة أسانيدها، والحكم عليها.</w:t>
      </w:r>
    </w:p>
    <w:p w:rsidR="007C68B7" w:rsidRPr="007C68B7" w:rsidRDefault="007C68B7" w:rsidP="00AF1D22">
      <w:pPr>
        <w:spacing w:line="240" w:lineRule="auto"/>
        <w:ind w:left="43" w:firstLine="96"/>
        <w:jc w:val="both"/>
        <w:rPr>
          <w:rFonts w:ascii="Traditional Arabic" w:eastAsia="Calibri" w:hAnsi="Traditional Arabic" w:cs="Traditional Arabic"/>
          <w:sz w:val="36"/>
          <w:szCs w:val="36"/>
          <w:rtl/>
        </w:rPr>
      </w:pPr>
      <w:r w:rsidRPr="007C68B7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الخاتمة:  وفيها أهم نتائج البحث، ومنها: </w:t>
      </w:r>
    </w:p>
    <w:p w:rsidR="007C68B7" w:rsidRPr="007C68B7" w:rsidRDefault="007C68B7" w:rsidP="00AF1D22">
      <w:pPr>
        <w:spacing w:line="240" w:lineRule="auto"/>
        <w:ind w:left="43" w:firstLine="96"/>
        <w:jc w:val="both"/>
        <w:rPr>
          <w:rFonts w:ascii="Traditional Arabic" w:eastAsia="Calibri" w:hAnsi="Traditional Arabic" w:cs="Traditional Arabic"/>
          <w:sz w:val="36"/>
          <w:szCs w:val="36"/>
          <w:rtl/>
        </w:rPr>
      </w:pPr>
      <w:r w:rsidRPr="007C68B7">
        <w:rPr>
          <w:rFonts w:ascii="Traditional Arabic" w:eastAsia="Calibri" w:hAnsi="Traditional Arabic" w:cs="Traditional Arabic" w:hint="cs"/>
          <w:sz w:val="36"/>
          <w:szCs w:val="36"/>
          <w:rtl/>
        </w:rPr>
        <w:t>1/ بلغ عدد أحاديثه المرفوعة -بدون المكرر- سبعاً وثلاثين ومائتي حديث، المقبول منها: واحدٌ وتسعون حديثاً، والمردود: إحدى وثلاثون ومائة.</w:t>
      </w:r>
    </w:p>
    <w:p w:rsidR="007C68B7" w:rsidRPr="007C68B7" w:rsidRDefault="007C68B7" w:rsidP="00AF1D22">
      <w:pPr>
        <w:spacing w:line="240" w:lineRule="auto"/>
        <w:ind w:left="43" w:firstLine="96"/>
        <w:jc w:val="both"/>
        <w:rPr>
          <w:rFonts w:ascii="Traditional Arabic" w:eastAsia="Calibri" w:hAnsi="Traditional Arabic" w:cs="Traditional Arabic"/>
          <w:sz w:val="36"/>
          <w:szCs w:val="36"/>
          <w:rtl/>
        </w:rPr>
      </w:pPr>
      <w:r w:rsidRPr="007C68B7">
        <w:rPr>
          <w:rFonts w:ascii="Traditional Arabic" w:eastAsia="Calibri" w:hAnsi="Traditional Arabic" w:cs="Traditional Arabic" w:hint="cs"/>
          <w:sz w:val="36"/>
          <w:szCs w:val="36"/>
          <w:rtl/>
        </w:rPr>
        <w:t>2/ أن منشأ ضعف كثير من أحاديثه عائدٌ إلى الرواة الذين هم محور أسانيده غالباً.</w:t>
      </w:r>
    </w:p>
    <w:p w:rsidR="007C68B7" w:rsidRPr="007C68B7" w:rsidRDefault="007C68B7" w:rsidP="00AF1D22">
      <w:pPr>
        <w:spacing w:line="240" w:lineRule="auto"/>
        <w:ind w:left="43" w:firstLine="96"/>
        <w:jc w:val="both"/>
        <w:rPr>
          <w:rFonts w:ascii="Traditional Arabic" w:eastAsia="Calibri" w:hAnsi="Traditional Arabic" w:cs="Traditional Arabic"/>
          <w:sz w:val="36"/>
          <w:szCs w:val="36"/>
          <w:rtl/>
        </w:rPr>
      </w:pPr>
      <w:r w:rsidRPr="007C68B7">
        <w:rPr>
          <w:rFonts w:ascii="Traditional Arabic" w:eastAsia="Calibri" w:hAnsi="Traditional Arabic" w:cs="Traditional Arabic" w:hint="cs"/>
          <w:sz w:val="36"/>
          <w:szCs w:val="36"/>
          <w:rtl/>
        </w:rPr>
        <w:t>3/ معرفة قدر الأزرقي، ومصنفه، عند أهل العلم،</w:t>
      </w:r>
      <w:r w:rsidRPr="007C68B7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7C68B7">
        <w:rPr>
          <w:rFonts w:ascii="Traditional Arabic" w:eastAsia="Calibri" w:hAnsi="Traditional Arabic" w:cs="Traditional Arabic" w:hint="cs"/>
          <w:sz w:val="36"/>
          <w:szCs w:val="36"/>
          <w:rtl/>
        </w:rPr>
        <w:t>إذ تلقُّوه بالقبول، وأكثروا من النقل عنه.</w:t>
      </w:r>
    </w:p>
    <w:p w:rsidR="007C68B7" w:rsidRPr="007C68B7" w:rsidRDefault="007C68B7" w:rsidP="00AF1D22">
      <w:pPr>
        <w:spacing w:line="240" w:lineRule="auto"/>
        <w:ind w:left="43" w:firstLine="96"/>
        <w:jc w:val="both"/>
        <w:rPr>
          <w:rFonts w:ascii="Traditional Arabic" w:eastAsia="Calibri" w:hAnsi="Traditional Arabic" w:cs="Traditional Arabic"/>
          <w:sz w:val="36"/>
          <w:szCs w:val="36"/>
          <w:rtl/>
        </w:rPr>
      </w:pPr>
      <w:r w:rsidRPr="007C68B7">
        <w:rPr>
          <w:rFonts w:ascii="Traditional Arabic" w:eastAsia="Calibri" w:hAnsi="Traditional Arabic" w:cs="Traditional Arabic" w:hint="cs"/>
          <w:sz w:val="36"/>
          <w:szCs w:val="36"/>
          <w:rtl/>
        </w:rPr>
        <w:t>والتوصيات، ومنها:</w:t>
      </w:r>
      <w:r w:rsidRPr="007C68B7">
        <w:rPr>
          <w:rFonts w:ascii="Times New Roman" w:eastAsia="Times New Roman" w:hAnsi="Times New Roman" w:cs="Traditional Arabic"/>
          <w:noProof/>
          <w:sz w:val="28"/>
          <w:szCs w:val="28"/>
          <w:rtl/>
          <w:lang w:eastAsia="ar-SA"/>
        </w:rPr>
        <w:t xml:space="preserve"> </w:t>
      </w:r>
      <w:r w:rsidRPr="007C68B7">
        <w:rPr>
          <w:rFonts w:ascii="Traditional Arabic" w:eastAsia="Calibri" w:hAnsi="Traditional Arabic" w:cs="Traditional Arabic"/>
          <w:sz w:val="36"/>
          <w:szCs w:val="36"/>
          <w:rtl/>
        </w:rPr>
        <w:t>دراسة الآثار التي أسندها أبو الوليد الأزرقي في كتاب أخبار مكة</w:t>
      </w:r>
      <w:r w:rsidRPr="007C68B7">
        <w:rPr>
          <w:rFonts w:ascii="Traditional Arabic" w:eastAsia="Calibri" w:hAnsi="Traditional Arabic" w:cs="Traditional Arabic" w:hint="cs"/>
          <w:sz w:val="36"/>
          <w:szCs w:val="36"/>
          <w:rtl/>
        </w:rPr>
        <w:t>.</w:t>
      </w:r>
    </w:p>
    <w:p w:rsidR="00AF1D22" w:rsidRDefault="007C68B7" w:rsidP="00AF1D22">
      <w:pPr>
        <w:spacing w:line="240" w:lineRule="auto"/>
        <w:ind w:left="43" w:firstLine="567"/>
        <w:jc w:val="both"/>
        <w:rPr>
          <w:rFonts w:ascii="Traditional Arabic" w:eastAsia="Calibri" w:hAnsi="Traditional Arabic" w:cs="Traditional Arabic"/>
          <w:sz w:val="36"/>
          <w:szCs w:val="36"/>
          <w:rtl/>
        </w:rPr>
      </w:pPr>
      <w:r w:rsidRPr="007C68B7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والله 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أسأل القبول والتوفيق.</w:t>
      </w:r>
    </w:p>
    <w:p w:rsidR="00AF1D22" w:rsidRDefault="00AF1D22" w:rsidP="001211A9">
      <w:pPr>
        <w:spacing w:line="240" w:lineRule="auto"/>
        <w:jc w:val="both"/>
        <w:rPr>
          <w:rFonts w:ascii="Traditional Arabic" w:eastAsia="Calibri" w:hAnsi="Traditional Arabic" w:cs="Traditional Arabic"/>
          <w:sz w:val="36"/>
          <w:szCs w:val="36"/>
          <w:rtl/>
        </w:rPr>
      </w:pPr>
      <w:bookmarkStart w:id="0" w:name="_GoBack"/>
      <w:bookmarkEnd w:id="0"/>
    </w:p>
    <w:p w:rsidR="008C6BDD" w:rsidRPr="001211A9" w:rsidRDefault="00AF1D22" w:rsidP="001211A9">
      <w:pPr>
        <w:spacing w:line="240" w:lineRule="auto"/>
        <w:ind w:left="43" w:firstLine="567"/>
        <w:jc w:val="both"/>
        <w:rPr>
          <w:rFonts w:ascii="Traditional Arabic" w:eastAsia="Calibri" w:hAnsi="Traditional Arabic" w:cs="Traditional Arabic"/>
          <w:sz w:val="36"/>
          <w:szCs w:val="36"/>
        </w:rPr>
      </w:pPr>
      <w:r>
        <w:rPr>
          <w:rFonts w:ascii="Traditional Arabic" w:eastAsia="Calibri" w:hAnsi="Traditional Arabic" w:cs="Traditional Arabic" w:hint="cs"/>
          <w:sz w:val="36"/>
          <w:szCs w:val="36"/>
          <w:rtl/>
        </w:rPr>
        <w:t>ولاء بنت محمد التويجري.</w:t>
      </w:r>
    </w:p>
    <w:sectPr w:rsidR="008C6BDD" w:rsidRPr="001211A9" w:rsidSect="00C162F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8B7"/>
    <w:rsid w:val="001211A9"/>
    <w:rsid w:val="007C68B7"/>
    <w:rsid w:val="008C6BDD"/>
    <w:rsid w:val="00AF1D22"/>
    <w:rsid w:val="00C1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2015-08-19T19:24:00Z</cp:lastPrinted>
  <dcterms:created xsi:type="dcterms:W3CDTF">2015-08-15T05:53:00Z</dcterms:created>
  <dcterms:modified xsi:type="dcterms:W3CDTF">2015-09-04T08:13:00Z</dcterms:modified>
</cp:coreProperties>
</file>