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6F" w:rsidRPr="00C71D0B" w:rsidRDefault="00F4196B" w:rsidP="00C123A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71D0B">
        <w:rPr>
          <w:rFonts w:asciiTheme="majorBidi" w:hAnsiTheme="majorBidi" w:cstheme="majorBidi"/>
          <w:sz w:val="24"/>
          <w:szCs w:val="24"/>
        </w:rPr>
        <w:t>Tilapia production</w:t>
      </w:r>
    </w:p>
    <w:p w:rsidR="00F4196B" w:rsidRPr="00C71D0B" w:rsidRDefault="00F4196B" w:rsidP="00CE1A68">
      <w:pPr>
        <w:spacing w:line="240" w:lineRule="auto"/>
        <w:jc w:val="both"/>
        <w:rPr>
          <w:rStyle w:val="kx21rb"/>
          <w:rFonts w:asciiTheme="majorBidi" w:hAnsiTheme="majorBidi" w:cstheme="majorBidi"/>
          <w:color w:val="70757A"/>
          <w:sz w:val="24"/>
          <w:szCs w:val="24"/>
          <w:shd w:val="clear" w:color="auto" w:fill="FFFFFF"/>
        </w:rPr>
      </w:pPr>
      <w:r w:rsidRPr="00C71D0B"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Global tilapia production grew by 3.3 percent </w:t>
      </w:r>
      <w:r w:rsidR="009C5DF6"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in 2020 to top 6 million </w:t>
      </w:r>
      <w:proofErr w:type="spellStart"/>
      <w:r w:rsidR="009C5DF6"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tonnes</w:t>
      </w:r>
      <w:proofErr w:type="spellEnd"/>
      <w:r w:rsidR="009C5DF6"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.</w:t>
      </w:r>
      <w:r w:rsidRPr="00C71D0B"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 </w:t>
      </w:r>
      <w:r w:rsidR="00CE1A68"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I</w:t>
      </w:r>
      <w:r w:rsidRPr="00C71D0B"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t grew from around 3 million </w:t>
      </w:r>
      <w:proofErr w:type="spellStart"/>
      <w:r w:rsidRPr="00C71D0B"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tonnes</w:t>
      </w:r>
      <w:proofErr w:type="spellEnd"/>
      <w:r w:rsidRPr="00C71D0B"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 to over 6 million [since 2010] at a growth rate of just above</w:t>
      </w:r>
      <w:r w:rsidR="00C123A1" w:rsidRPr="00C71D0B"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 7 percent (</w:t>
      </w:r>
      <w:r w:rsidRPr="00C71D0B">
        <w:rPr>
          <w:rStyle w:val="kx21rb"/>
          <w:rFonts w:asciiTheme="majorBidi" w:hAnsiTheme="majorBidi" w:cstheme="majorBidi"/>
          <w:color w:val="70757A"/>
          <w:sz w:val="24"/>
          <w:szCs w:val="24"/>
          <w:shd w:val="clear" w:color="auto" w:fill="FFFFFF"/>
        </w:rPr>
        <w:t>Oct 6, 2020</w:t>
      </w:r>
      <w:r w:rsidR="00C123A1" w:rsidRPr="00C71D0B">
        <w:rPr>
          <w:rStyle w:val="kx21rb"/>
          <w:rFonts w:asciiTheme="majorBidi" w:hAnsiTheme="majorBidi" w:cstheme="majorBidi"/>
          <w:color w:val="70757A"/>
          <w:sz w:val="24"/>
          <w:szCs w:val="24"/>
          <w:shd w:val="clear" w:color="auto" w:fill="FFFFFF"/>
        </w:rPr>
        <w:t>).</w:t>
      </w:r>
    </w:p>
    <w:p w:rsidR="009C5DF6" w:rsidRDefault="00F4196B" w:rsidP="009C5DF6">
      <w:pPr>
        <w:spacing w:line="240" w:lineRule="auto"/>
        <w:jc w:val="both"/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</w:pPr>
      <w:r w:rsidRPr="00C71D0B"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Although China remains the largest producer of farmed tilapia by far, harvesting roughly 1.7 million </w:t>
      </w:r>
      <w:proofErr w:type="spellStart"/>
      <w:r w:rsidRPr="00C71D0B"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tonnes</w:t>
      </w:r>
      <w:proofErr w:type="spellEnd"/>
      <w:r w:rsidRPr="00C71D0B">
        <w:rPr>
          <w:rStyle w:val="hgkelc"/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 xml:space="preserve"> per year, its growth rate has slowed relative to other producing countries in Asia, Latin America and Africa.</w:t>
      </w:r>
    </w:p>
    <w:p w:rsidR="00F4196B" w:rsidRPr="00C71D0B" w:rsidRDefault="00F4196B" w:rsidP="009C5DF6">
      <w:pPr>
        <w:spacing w:line="240" w:lineRule="auto"/>
        <w:jc w:val="both"/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</w:pPr>
      <w:r w:rsidRPr="00C71D0B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 xml:space="preserve">China and </w:t>
      </w:r>
      <w:proofErr w:type="gramStart"/>
      <w:r w:rsidRPr="00C71D0B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>Indonesia</w:t>
      </w:r>
      <w:r w:rsidR="009C5DF6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>:-</w:t>
      </w:r>
      <w:proofErr w:type="gramEnd"/>
      <w:r w:rsidR="009C5DF6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 xml:space="preserve"> </w:t>
      </w: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According to estimates based on the survey, China crossed the 1.8 million </w:t>
      </w:r>
      <w:proofErr w:type="spellStart"/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tonne</w:t>
      </w:r>
      <w:proofErr w:type="spellEnd"/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 mark in 2019 and had a small decline in 2020, but growth is expected in 2021.</w:t>
      </w:r>
    </w:p>
    <w:p w:rsidR="00F4196B" w:rsidRPr="00C71D0B" w:rsidRDefault="00F4196B" w:rsidP="00C123A1">
      <w:pPr>
        <w:shd w:val="clear" w:color="auto" w:fill="F7F7F7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</w:pP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Indonesia – the world’s second largest tilapia producer – saw a drop to around 900,000 </w:t>
      </w:r>
      <w:proofErr w:type="spellStart"/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tonnes</w:t>
      </w:r>
      <w:proofErr w:type="spellEnd"/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 in 2019, down from over 1.2 million the previous year.</w:t>
      </w:r>
    </w:p>
    <w:p w:rsidR="009C5DF6" w:rsidRDefault="00F06028" w:rsidP="009C5DF6">
      <w:pPr>
        <w:shd w:val="clear" w:color="auto" w:fill="F7F7F7"/>
        <w:spacing w:before="336" w:after="168" w:line="240" w:lineRule="auto"/>
        <w:jc w:val="both"/>
        <w:outlineLvl w:val="1"/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</w:pPr>
      <w:r w:rsidRPr="00C71D0B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 xml:space="preserve">Other Asian </w:t>
      </w:r>
      <w:proofErr w:type="gramStart"/>
      <w:r w:rsidRPr="00C71D0B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>producers</w:t>
      </w:r>
      <w:r w:rsidR="009C5DF6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>:-</w:t>
      </w:r>
      <w:proofErr w:type="gramEnd"/>
      <w:r w:rsidR="009C5DF6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 xml:space="preserve"> </w:t>
      </w: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“The great success of Bangladesh –the sector was grown from a larger base it continues to grow. 38.9 percent growth rate – the highest growth rate we’ve had from any species so far</w:t>
      </w:r>
      <w:r w:rsidR="009C5DF6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.</w:t>
      </w:r>
    </w:p>
    <w:p w:rsidR="00F06028" w:rsidRPr="00C71D0B" w:rsidRDefault="00F06028" w:rsidP="009C5DF6">
      <w:pPr>
        <w:shd w:val="clear" w:color="auto" w:fill="F7F7F7"/>
        <w:spacing w:before="336" w:after="168" w:line="240" w:lineRule="auto"/>
        <w:jc w:val="both"/>
        <w:outlineLvl w:val="1"/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</w:pPr>
      <w:proofErr w:type="gramStart"/>
      <w:r w:rsidRPr="00C71D0B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>Africa</w:t>
      </w:r>
      <w:r w:rsidR="009C5DF6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>:-</w:t>
      </w:r>
      <w:proofErr w:type="gramEnd"/>
      <w:r w:rsidR="009C5DF6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 xml:space="preserve"> </w:t>
      </w: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“Tilapia has been a runaway success in Egypt , continuing its growth rate at 8 percent, which is very strong. </w:t>
      </w:r>
      <w:r w:rsidR="009C5DF6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I</w:t>
      </w: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t seems there was some decline in 2019, but it’s certainly a sector that’s firmly above 1 million </w:t>
      </w:r>
      <w:proofErr w:type="spellStart"/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tonnes</w:t>
      </w:r>
      <w:proofErr w:type="spellEnd"/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.</w:t>
      </w:r>
    </w:p>
    <w:p w:rsidR="00CE1A68" w:rsidRDefault="00F06028" w:rsidP="00CE1A68">
      <w:pPr>
        <w:shd w:val="clear" w:color="auto" w:fill="F7F7F7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</w:pP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“The interesting thing in Africa is that there’s a lot of tilapia grown in other countries</w:t>
      </w:r>
      <w:r w:rsidR="00CE1A68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.</w:t>
      </w: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  But this group of others is a group that we should be looking at into the future with a strong growth rate of almost 16 percent</w:t>
      </w:r>
      <w:r w:rsidR="00CE1A68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.</w:t>
      </w:r>
    </w:p>
    <w:p w:rsidR="00F06028" w:rsidRPr="00C71D0B" w:rsidRDefault="00F06028" w:rsidP="00CE1A68">
      <w:pPr>
        <w:shd w:val="clear" w:color="auto" w:fill="F7F7F7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</w:pPr>
      <w:proofErr w:type="gramStart"/>
      <w:r w:rsidRPr="00C71D0B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>Brazil</w:t>
      </w:r>
      <w:r w:rsidR="00CE1A68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>:-</w:t>
      </w:r>
      <w:proofErr w:type="gramEnd"/>
      <w:r w:rsidR="00CE1A68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 xml:space="preserve"> </w:t>
      </w: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Growth of Brazil’</w:t>
      </w:r>
      <w:r w:rsidR="00CF457A"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s tilapia sector meanwhile has</w:t>
      </w: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 mirrored the recent success of its shrimp sector.</w:t>
      </w:r>
      <w:r w:rsidR="00CF457A"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 </w:t>
      </w:r>
      <w:r w:rsidR="00CE1A68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T</w:t>
      </w: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h</w:t>
      </w:r>
      <w:r w:rsidR="00CE1A68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e</w:t>
      </w: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 Brazil had a good tilapia sector, growing from 150,000 to over 300,000 </w:t>
      </w:r>
      <w:proofErr w:type="spellStart"/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tonnes</w:t>
      </w:r>
      <w:proofErr w:type="spellEnd"/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 in the last decade, but now in the last few years it has grown to almost 500,000 and the expectation is that it will surpass 500,000 </w:t>
      </w:r>
      <w:proofErr w:type="spellStart"/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tonnes</w:t>
      </w:r>
      <w:proofErr w:type="spellEnd"/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 </w:t>
      </w:r>
      <w:r w:rsidR="00CE1A68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by 2021</w:t>
      </w: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. </w:t>
      </w:r>
    </w:p>
    <w:p w:rsidR="00C71D0B" w:rsidRPr="00C71D0B" w:rsidRDefault="00F06028" w:rsidP="00CE1A68">
      <w:pPr>
        <w:shd w:val="clear" w:color="auto" w:fill="F7F7F7"/>
        <w:spacing w:before="336" w:after="168" w:line="240" w:lineRule="auto"/>
        <w:jc w:val="both"/>
        <w:outlineLvl w:val="1"/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</w:pPr>
      <w:r w:rsidRPr="00C71D0B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 xml:space="preserve">The rest of the </w:t>
      </w:r>
      <w:proofErr w:type="gramStart"/>
      <w:r w:rsidRPr="00C71D0B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>Americas</w:t>
      </w:r>
      <w:r w:rsidR="00CE1A68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>:-</w:t>
      </w:r>
      <w:proofErr w:type="gramEnd"/>
      <w:r w:rsidR="00CE1A68">
        <w:rPr>
          <w:rFonts w:asciiTheme="majorBidi" w:eastAsia="Times New Roman" w:hAnsiTheme="majorBidi" w:cstheme="majorBidi"/>
          <w:color w:val="2B92CB"/>
          <w:spacing w:val="-3"/>
          <w:sz w:val="24"/>
          <w:szCs w:val="24"/>
        </w:rPr>
        <w:t xml:space="preserve"> </w:t>
      </w: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There’s good growth in a number of other region in South America – Columbia is doing well, almost 6 percent growth and continuing; Mexico also doing very well, 26 percent growth, and our survey data suggests that the FAO data might be too low and it’s close to being a 100,000 </w:t>
      </w:r>
      <w:proofErr w:type="spellStart"/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tonne</w:t>
      </w:r>
      <w:proofErr w:type="spellEnd"/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 sector soon. It’s a very good performance of tilapia in a select group of Latin American countries</w:t>
      </w:r>
      <w:r w:rsidR="00CF457A"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>.</w:t>
      </w:r>
    </w:p>
    <w:p w:rsidR="009F51AA" w:rsidRPr="00C71D0B" w:rsidRDefault="00C71D0B" w:rsidP="00CE1A68">
      <w:pPr>
        <w:shd w:val="clear" w:color="auto" w:fill="F7F7F7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</w:pPr>
      <w:r w:rsidRPr="00C71D0B">
        <w:rPr>
          <w:rFonts w:asciiTheme="majorBidi" w:eastAsia="Times New Roman" w:hAnsiTheme="majorBidi" w:cstheme="majorBidi"/>
          <w:color w:val="3C3C3C"/>
          <w:spacing w:val="-3"/>
          <w:sz w:val="24"/>
          <w:szCs w:val="24"/>
        </w:rPr>
        <w:t xml:space="preserve">Production of </w:t>
      </w:r>
      <w:r w:rsidR="00F46042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>Tilapia</w:t>
      </w:r>
      <w:r w:rsidR="00CF457A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 xml:space="preserve"> in  Saudi </w:t>
      </w:r>
      <w:proofErr w:type="spellStart"/>
      <w:r w:rsidR="00CF457A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>arabia</w:t>
      </w:r>
      <w:proofErr w:type="spellEnd"/>
      <w:r w:rsidR="00CF457A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 xml:space="preserve">:- </w:t>
      </w:r>
      <w:r w:rsidR="00F46042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>Nile tilapia (</w:t>
      </w:r>
      <w:proofErr w:type="spellStart"/>
      <w:r w:rsidR="00F46042" w:rsidRPr="00C71D0B">
        <w:rPr>
          <w:rStyle w:val="normalitalic"/>
          <w:rFonts w:asciiTheme="majorBidi" w:hAnsiTheme="majorBidi" w:cstheme="majorBidi"/>
          <w:i/>
          <w:iCs/>
          <w:color w:val="4E4E4E"/>
          <w:sz w:val="24"/>
          <w:szCs w:val="24"/>
          <w:shd w:val="clear" w:color="auto" w:fill="FFFFFF"/>
        </w:rPr>
        <w:fldChar w:fldCharType="begin"/>
      </w:r>
      <w:r w:rsidR="00F46042" w:rsidRPr="00C71D0B">
        <w:rPr>
          <w:rStyle w:val="normalitalic"/>
          <w:rFonts w:asciiTheme="majorBidi" w:hAnsiTheme="majorBidi" w:cstheme="majorBidi"/>
          <w:i/>
          <w:iCs/>
          <w:color w:val="4E4E4E"/>
          <w:sz w:val="24"/>
          <w:szCs w:val="24"/>
          <w:shd w:val="clear" w:color="auto" w:fill="FFFFFF"/>
        </w:rPr>
        <w:instrText xml:space="preserve"> HYPERLINK "http://www.fao.org/fi/website/FIRetrieveAction.do?dom=culturespecies&amp;xml=Oreochromis_niloticus.xml" </w:instrText>
      </w:r>
      <w:r w:rsidR="00F46042" w:rsidRPr="00C71D0B">
        <w:rPr>
          <w:rStyle w:val="normalitalic"/>
          <w:rFonts w:asciiTheme="majorBidi" w:hAnsiTheme="majorBidi" w:cstheme="majorBidi"/>
          <w:i/>
          <w:iCs/>
          <w:color w:val="4E4E4E"/>
          <w:sz w:val="24"/>
          <w:szCs w:val="24"/>
          <w:shd w:val="clear" w:color="auto" w:fill="FFFFFF"/>
        </w:rPr>
        <w:fldChar w:fldCharType="separate"/>
      </w:r>
      <w:r w:rsidR="00F46042" w:rsidRPr="00C71D0B">
        <w:rPr>
          <w:rStyle w:val="Hyperlink"/>
          <w:rFonts w:asciiTheme="majorBidi" w:hAnsiTheme="majorBidi" w:cstheme="majorBidi"/>
          <w:i/>
          <w:iCs/>
          <w:color w:val="2D8B8C"/>
          <w:sz w:val="24"/>
          <w:szCs w:val="24"/>
          <w:shd w:val="clear" w:color="auto" w:fill="FFFFFF"/>
        </w:rPr>
        <w:t>Oreochromis</w:t>
      </w:r>
      <w:proofErr w:type="spellEnd"/>
      <w:r w:rsidR="00F46042" w:rsidRPr="00C71D0B">
        <w:rPr>
          <w:rStyle w:val="Hyperlink"/>
          <w:rFonts w:asciiTheme="majorBidi" w:hAnsiTheme="majorBidi" w:cstheme="majorBidi"/>
          <w:i/>
          <w:iCs/>
          <w:color w:val="2D8B8C"/>
          <w:sz w:val="24"/>
          <w:szCs w:val="24"/>
          <w:shd w:val="clear" w:color="auto" w:fill="FFFFFF"/>
        </w:rPr>
        <w:t xml:space="preserve"> </w:t>
      </w:r>
      <w:proofErr w:type="spellStart"/>
      <w:r w:rsidR="00F46042" w:rsidRPr="00C71D0B">
        <w:rPr>
          <w:rStyle w:val="Hyperlink"/>
          <w:rFonts w:asciiTheme="majorBidi" w:hAnsiTheme="majorBidi" w:cstheme="majorBidi"/>
          <w:i/>
          <w:iCs/>
          <w:color w:val="2D8B8C"/>
          <w:sz w:val="24"/>
          <w:szCs w:val="24"/>
          <w:shd w:val="clear" w:color="auto" w:fill="FFFFFF"/>
        </w:rPr>
        <w:t>niloticus</w:t>
      </w:r>
      <w:proofErr w:type="spellEnd"/>
      <w:r w:rsidR="00F46042" w:rsidRPr="00C71D0B">
        <w:rPr>
          <w:rStyle w:val="normalitalic"/>
          <w:rFonts w:asciiTheme="majorBidi" w:hAnsiTheme="majorBidi" w:cstheme="majorBidi"/>
          <w:i/>
          <w:iCs/>
          <w:color w:val="4E4E4E"/>
          <w:sz w:val="24"/>
          <w:szCs w:val="24"/>
          <w:shd w:val="clear" w:color="auto" w:fill="FFFFFF"/>
        </w:rPr>
        <w:fldChar w:fldCharType="end"/>
      </w:r>
      <w:r w:rsidR="00F46042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 xml:space="preserve">) is the main freshwater fish cultured in the country with present production of 2 276 </w:t>
      </w:r>
      <w:proofErr w:type="spellStart"/>
      <w:r w:rsidR="00F46042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>tonnes</w:t>
      </w:r>
      <w:proofErr w:type="spellEnd"/>
      <w:r w:rsidR="00F46042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 xml:space="preserve"> or about 20 percent of the total aquaculture production in 2004 (Fisheries Statistics, 2006). In the last 10 years, </w:t>
      </w:r>
      <w:proofErr w:type="spellStart"/>
      <w:r w:rsidR="00F46042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>sabaki</w:t>
      </w:r>
      <w:proofErr w:type="spellEnd"/>
      <w:r w:rsidR="00F46042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 xml:space="preserve"> tilapia </w:t>
      </w:r>
      <w:proofErr w:type="spellStart"/>
      <w:r w:rsidR="00F46042" w:rsidRPr="00C71D0B">
        <w:rPr>
          <w:rFonts w:asciiTheme="majorBidi" w:hAnsiTheme="majorBidi" w:cstheme="majorBidi"/>
          <w:i/>
          <w:iCs/>
          <w:color w:val="4E4E4E"/>
          <w:sz w:val="24"/>
          <w:szCs w:val="24"/>
          <w:shd w:val="clear" w:color="auto" w:fill="FFFFFF"/>
        </w:rPr>
        <w:t>Oreochromis</w:t>
      </w:r>
      <w:proofErr w:type="spellEnd"/>
      <w:r w:rsidR="00F46042" w:rsidRPr="00C71D0B">
        <w:rPr>
          <w:rFonts w:asciiTheme="majorBidi" w:hAnsiTheme="majorBidi" w:cstheme="majorBidi"/>
          <w:i/>
          <w:iCs/>
          <w:color w:val="4E4E4E"/>
          <w:sz w:val="24"/>
          <w:szCs w:val="24"/>
          <w:shd w:val="clear" w:color="auto" w:fill="FFFFFF"/>
        </w:rPr>
        <w:t xml:space="preserve"> </w:t>
      </w:r>
      <w:proofErr w:type="spellStart"/>
      <w:r w:rsidR="00F46042" w:rsidRPr="00C71D0B">
        <w:rPr>
          <w:rFonts w:asciiTheme="majorBidi" w:hAnsiTheme="majorBidi" w:cstheme="majorBidi"/>
          <w:i/>
          <w:iCs/>
          <w:color w:val="4E4E4E"/>
          <w:sz w:val="24"/>
          <w:szCs w:val="24"/>
          <w:shd w:val="clear" w:color="auto" w:fill="FFFFFF"/>
        </w:rPr>
        <w:t>spilurus</w:t>
      </w:r>
      <w:proofErr w:type="spellEnd"/>
      <w:r w:rsidR="00F46042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>, a salt tolerant strain of tilapia was introduced from Kenya. This species is now bred and cultured in high saline waters of the Red Sea. The present production of </w:t>
      </w:r>
      <w:r w:rsidR="00F46042" w:rsidRPr="00C71D0B">
        <w:rPr>
          <w:rFonts w:asciiTheme="majorBidi" w:hAnsiTheme="majorBidi" w:cstheme="majorBidi"/>
          <w:i/>
          <w:iCs/>
          <w:color w:val="4E4E4E"/>
          <w:sz w:val="24"/>
          <w:szCs w:val="24"/>
          <w:shd w:val="clear" w:color="auto" w:fill="FFFFFF"/>
        </w:rPr>
        <w:t xml:space="preserve">O. </w:t>
      </w:r>
      <w:proofErr w:type="spellStart"/>
      <w:r w:rsidR="00F46042" w:rsidRPr="00C71D0B">
        <w:rPr>
          <w:rFonts w:asciiTheme="majorBidi" w:hAnsiTheme="majorBidi" w:cstheme="majorBidi"/>
          <w:i/>
          <w:iCs/>
          <w:color w:val="4E4E4E"/>
          <w:sz w:val="24"/>
          <w:szCs w:val="24"/>
          <w:shd w:val="clear" w:color="auto" w:fill="FFFFFF"/>
        </w:rPr>
        <w:t>spilurus</w:t>
      </w:r>
      <w:proofErr w:type="spellEnd"/>
      <w:r w:rsidR="00F46042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 xml:space="preserve"> is still very minimal at about 1 percent of the total aquaculture production in 2004 (Fisheries Statistics, 2008) and 1.5 percent in 2014. </w:t>
      </w:r>
      <w:r w:rsidR="00CE1A68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>E</w:t>
      </w:r>
      <w:r w:rsidR="00F46042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 xml:space="preserve">valuation of this marine species scored 370 </w:t>
      </w:r>
      <w:proofErr w:type="spellStart"/>
      <w:r w:rsidR="00F46042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>tonnes</w:t>
      </w:r>
      <w:proofErr w:type="spellEnd"/>
      <w:r w:rsidR="00F46042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t xml:space="preserve"> which was 5.9 percent of the total </w:t>
      </w:r>
      <w:r w:rsidR="00F46042" w:rsidRPr="00C71D0B">
        <w:rPr>
          <w:rFonts w:asciiTheme="majorBidi" w:hAnsiTheme="majorBidi" w:cstheme="majorBidi"/>
          <w:color w:val="4E4E4E"/>
          <w:sz w:val="24"/>
          <w:szCs w:val="24"/>
          <w:shd w:val="clear" w:color="auto" w:fill="FFFFFF"/>
        </w:rPr>
        <w:lastRenderedPageBreak/>
        <w:t>tilapia production in the Kingdom. Freshwater tilapia production in 2014 was over 20 percent of the total aquaculture production for the year 2014.</w:t>
      </w:r>
      <w:r w:rsidR="009F51AA" w:rsidRPr="00C71D0B">
        <w:rPr>
          <w:rFonts w:asciiTheme="majorBidi" w:hAnsiTheme="majorBidi" w:cstheme="majorBidi"/>
          <w:color w:val="444444"/>
          <w:sz w:val="24"/>
          <w:szCs w:val="24"/>
          <w:shd w:val="clear" w:color="auto" w:fill="F5F5F7"/>
        </w:rPr>
        <w:t xml:space="preserve">The Saudi National Strategy to step up production of aquaculture products to more than 600 thousand tons by 2030 has identified a number of species of cultured marine organisms of economic and market value, including tilapia fish, </w:t>
      </w:r>
    </w:p>
    <w:p w:rsidR="00F06028" w:rsidRPr="00C71D0B" w:rsidRDefault="00F06028" w:rsidP="00C123A1">
      <w:pPr>
        <w:spacing w:after="0" w:line="240" w:lineRule="auto"/>
        <w:jc w:val="both"/>
        <w:rPr>
          <w:rFonts w:asciiTheme="majorBidi" w:eastAsia="Times New Roman" w:hAnsiTheme="majorBidi" w:cstheme="majorBidi"/>
          <w:color w:val="195577"/>
          <w:sz w:val="24"/>
          <w:szCs w:val="24"/>
        </w:rPr>
      </w:pPr>
      <w:r w:rsidRPr="00C71D0B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Pr="00C71D0B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"https://thefishsite.com/contributors/rob-fletcher" </w:instrText>
      </w:r>
      <w:r w:rsidRPr="00C71D0B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</w:p>
    <w:p w:rsidR="00F06028" w:rsidRPr="00C71D0B" w:rsidRDefault="00F06028" w:rsidP="00C123A1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71D0B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bookmarkStart w:id="0" w:name="_GoBack"/>
      <w:bookmarkEnd w:id="0"/>
    </w:p>
    <w:p w:rsidR="00F4196B" w:rsidRPr="00C71D0B" w:rsidRDefault="00F4196B" w:rsidP="00C123A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4196B" w:rsidRPr="00C71D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6B"/>
    <w:rsid w:val="000C146F"/>
    <w:rsid w:val="00856544"/>
    <w:rsid w:val="0090451A"/>
    <w:rsid w:val="009C5DF6"/>
    <w:rsid w:val="009F51AA"/>
    <w:rsid w:val="00C123A1"/>
    <w:rsid w:val="00C71D0B"/>
    <w:rsid w:val="00CE1A68"/>
    <w:rsid w:val="00CF457A"/>
    <w:rsid w:val="00F06028"/>
    <w:rsid w:val="00F4196B"/>
    <w:rsid w:val="00F44821"/>
    <w:rsid w:val="00F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8F58"/>
  <w15:chartTrackingRefBased/>
  <w15:docId w15:val="{D4A3CCCF-6B3A-439E-9517-3A4B4B26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F4196B"/>
  </w:style>
  <w:style w:type="character" w:customStyle="1" w:styleId="kx21rb">
    <w:name w:val="kx21rb"/>
    <w:basedOn w:val="DefaultParagraphFont"/>
    <w:rsid w:val="00F4196B"/>
  </w:style>
  <w:style w:type="character" w:customStyle="1" w:styleId="Heading2Char">
    <w:name w:val="Heading 2 Char"/>
    <w:basedOn w:val="DefaultParagraphFont"/>
    <w:link w:val="Heading2"/>
    <w:uiPriority w:val="9"/>
    <w:rsid w:val="00F419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196B"/>
    <w:rPr>
      <w:color w:val="0000FF"/>
      <w:u w:val="single"/>
    </w:rPr>
  </w:style>
  <w:style w:type="character" w:customStyle="1" w:styleId="normalitalic">
    <w:name w:val="normalitalic"/>
    <w:basedOn w:val="DefaultParagraphFont"/>
    <w:rsid w:val="00F4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276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8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515">
          <w:marLeft w:val="324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27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703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</w:divsChild>
    </w:div>
    <w:div w:id="1932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8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49">
          <w:marLeft w:val="324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094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00014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Other Asian producers:- “The great success of Bangladesh –the sector was grown f</vt:lpstr>
      <vt:lpstr>    Africa:- “Tilapia has been a runaway success in Egypt , continuing its growth ra</vt:lpstr>
      <vt:lpstr>    The rest of the Americas:- There’s good growth in a number of other region in So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2021-01-22T14:02:00Z</dcterms:created>
  <dcterms:modified xsi:type="dcterms:W3CDTF">2021-02-06T11:50:00Z</dcterms:modified>
</cp:coreProperties>
</file>