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8" w:rsidRPr="007548E8" w:rsidRDefault="007548E8" w:rsidP="0075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8E8">
        <w:rPr>
          <w:rFonts w:ascii="Times" w:eastAsia="Times New Roman" w:hAnsi="Times" w:cs="Times"/>
          <w:color w:val="000000"/>
          <w:sz w:val="72"/>
          <w:szCs w:val="72"/>
        </w:rPr>
        <w:t>METAMORPHIC ROCK</w:t>
      </w:r>
      <w:r w:rsidRPr="007548E8">
        <w:rPr>
          <w:rFonts w:ascii="Times" w:eastAsia="Times New Roman" w:hAnsi="Times" w:cs="Times"/>
          <w:color w:val="000000"/>
          <w:sz w:val="72"/>
          <w:szCs w:val="72"/>
        </w:rPr>
        <w:br/>
        <w:t>TEXTURES</w:t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500"/>
        <w:gridCol w:w="5100"/>
      </w:tblGrid>
      <w:tr w:rsidR="007548E8" w:rsidRPr="007548E8" w:rsidTr="007548E8">
        <w:trPr>
          <w:tblCellSpacing w:w="0" w:type="dxa"/>
          <w:jc w:val="center"/>
        </w:trPr>
        <w:tc>
          <w:tcPr>
            <w:tcW w:w="300" w:type="dxa"/>
            <w:vAlign w:val="bottom"/>
            <w:hideMark/>
          </w:tcPr>
          <w:p w:rsidR="007548E8" w:rsidRPr="007548E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7548E8" w:rsidRPr="007548E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52400"/>
                  <wp:effectExtent l="19050" t="0" r="0" b="0"/>
                  <wp:docPr id="13" name="Picture 1" descr="alert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ert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bottom"/>
            <w:hideMark/>
          </w:tcPr>
          <w:p w:rsidR="007548E8" w:rsidRPr="007548E8" w:rsidRDefault="007548E8" w:rsidP="0075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E8">
              <w:rPr>
                <w:rFonts w:ascii="Times" w:eastAsia="Times New Roman" w:hAnsi="Times" w:cs="Times"/>
                <w:color w:val="FF0000"/>
                <w:sz w:val="48"/>
                <w:szCs w:val="48"/>
              </w:rPr>
              <w:t>Foliated Texture</w:t>
            </w:r>
          </w:p>
        </w:tc>
      </w:tr>
      <w:tr w:rsidR="007548E8" w:rsidRPr="007548E8" w:rsidTr="007548E8">
        <w:trPr>
          <w:tblCellSpacing w:w="0" w:type="dxa"/>
          <w:jc w:val="center"/>
        </w:trPr>
        <w:tc>
          <w:tcPr>
            <w:tcW w:w="9900" w:type="dxa"/>
            <w:gridSpan w:val="3"/>
            <w:hideMark/>
          </w:tcPr>
          <w:p w:rsidR="007548E8" w:rsidRPr="007548E8" w:rsidRDefault="00B111D4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D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</w:tbl>
    <w:p w:rsidR="007548E8" w:rsidRPr="007548E8" w:rsidRDefault="007548E8" w:rsidP="007548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00"/>
      </w:tblGrid>
      <w:tr w:rsidR="007548E8" w:rsidRPr="007548E8" w:rsidTr="007548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48E8" w:rsidRPr="007548E8" w:rsidRDefault="007548E8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mineral constituents of foliated metamorphic rocks are oriented in a parallel or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suhparallel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arrangement. Foliated metamorphic rocks are generally associated with regional metamorphism. Four kinds of foliated textures arc recognized. In order of increasing metamorphic grade, these are </w:t>
            </w:r>
            <w:proofErr w:type="spellStart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slaty</w:t>
            </w:r>
            <w:proofErr w:type="spellEnd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phyllitic</w:t>
            </w:r>
            <w:proofErr w:type="spellEnd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, schistose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and </w:t>
            </w:r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gneissic.</w:t>
            </w:r>
          </w:p>
          <w:p w:rsidR="007548E8" w:rsidRPr="007548E8" w:rsidRDefault="007548E8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52650" cy="1666875"/>
                  <wp:effectExtent l="19050" t="0" r="0" b="0"/>
                  <wp:wrapSquare wrapText="bothSides"/>
                  <wp:docPr id="17" name="Picture 2" descr="http://geology.csupomona.edu/alert/metamorphic/sl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ology.csupomona.edu/alert/metamorphic/sl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548E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Slaty</w:t>
            </w:r>
            <w:proofErr w:type="spellEnd"/>
            <w:r w:rsidRPr="007548E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Texture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This texture is caused by the parallel orientation of microscopic grains. The name for the rock with this texture is </w:t>
            </w:r>
            <w:proofErr w:type="gramStart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slate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proofErr w:type="gram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the rock is characterized by a tendency to separate along parallel planes. This feature is a property known as </w:t>
            </w:r>
            <w:proofErr w:type="spellStart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slaty</w:t>
            </w:r>
            <w:proofErr w:type="spellEnd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 cleavage.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(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Slaty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cleavage or rock cleavage is not to be confused with cleavage in a mineral, which is related to the internal atomic structure of the mineral.)</w:t>
            </w:r>
          </w:p>
          <w:p w:rsidR="007548E8" w:rsidRPr="007548E8" w:rsidRDefault="007548E8" w:rsidP="007548E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br w:type="textWrapping" w:clear="right"/>
            </w:r>
          </w:p>
          <w:p w:rsidR="007548E8" w:rsidRPr="007548E8" w:rsidRDefault="007548E8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19325" cy="1666875"/>
                  <wp:effectExtent l="19050" t="0" r="9525" b="0"/>
                  <wp:wrapSquare wrapText="bothSides"/>
                  <wp:docPr id="16" name="Picture 3" descr="http://geology.csupomona.edu/alert/metamorphic/phylli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eology.csupomona.edu/alert/metamorphic/phylli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548E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Phyllitic</w:t>
            </w:r>
            <w:proofErr w:type="spellEnd"/>
            <w:r w:rsidRPr="007548E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Texture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- This texture is formed by the parallel arrangement of platy minerals, usually </w:t>
            </w:r>
            <w:proofErr w:type="gram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micas, that</w:t>
            </w:r>
            <w:proofErr w:type="gram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are barely macroscopic (visible to the naked eye). The parallelism is often silky, or crenulated. The predominance of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micaceous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minerals imparts </w:t>
            </w:r>
            <w:proofErr w:type="gram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a sheen</w:t>
            </w:r>
            <w:proofErr w:type="gram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to the hand specimens. A rock with a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phyllitic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texture is called a </w:t>
            </w:r>
            <w:proofErr w:type="spellStart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phyllite</w:t>
            </w:r>
            <w:proofErr w:type="spellEnd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.</w:t>
            </w:r>
          </w:p>
          <w:p w:rsidR="007548E8" w:rsidRPr="007548E8" w:rsidRDefault="007548E8" w:rsidP="007548E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br w:type="textWrapping" w:clear="right"/>
            </w:r>
          </w:p>
          <w:p w:rsidR="007548E8" w:rsidRPr="007548E8" w:rsidRDefault="007548E8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lastRenderedPageBreak/>
              <w:drawing>
                <wp:anchor distT="95250" distB="95250" distL="95250" distR="95250" simplePos="0" relativeHeight="25166438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90750" cy="1666875"/>
                  <wp:effectExtent l="19050" t="0" r="0" b="0"/>
                  <wp:wrapSquare wrapText="bothSides"/>
                  <wp:docPr id="15" name="Picture 4" descr="http://geology.csupomona.edu/alert/metamorphic/schi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eology.csupomona.edu/alert/metamorphic/schi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8E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Schistose Texture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This is a foliated texture resulting from the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suhparallel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to parallel orientation of platy minerals such as chlorite or micas. Other common minerals present are quartz and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amphiholes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. A schistose texture lies between the parallel platy appearance of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phyllite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the distinct banding of gneissic texture. The average grain size of the minerals is generally smaller than in </w:t>
            </w:r>
            <w:proofErr w:type="gram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a gneiss</w:t>
            </w:r>
            <w:proofErr w:type="gram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. A rock with schistose texture is called a </w:t>
            </w:r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schist </w:t>
            </w:r>
          </w:p>
          <w:p w:rsidR="007548E8" w:rsidRPr="007548E8" w:rsidRDefault="007548E8" w:rsidP="007548E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br w:type="textWrapping" w:clear="right"/>
            </w:r>
          </w:p>
          <w:p w:rsidR="007548E8" w:rsidRDefault="007548E8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6540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90750" cy="1666875"/>
                  <wp:effectExtent l="19050" t="0" r="0" b="0"/>
                  <wp:wrapSquare wrapText="bothSides"/>
                  <wp:docPr id="14" name="Picture 5" descr="http://geology.csupomona.edu/alert/metamorphic/gneis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ology.csupomona.edu/alert/metamorphic/gneis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48E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Gneissic Texture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This is a coarsely foliated texture in which the minerals have been segregated into discontinuous hands, each of which is dominated by one or two minerals. These bands range in thickness from 1 mm to several centimeters. The individual mineral grains are macroscopic and impart a striped appearance to a hand specimen. Light-colored bands commonly contain quartz and feldspar. </w:t>
            </w:r>
            <w:proofErr w:type="gram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and</w:t>
            </w:r>
            <w:proofErr w:type="gram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the dark hands are commonly composed of hornblende and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hiotite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. Accessory minerals are common and are useful in applying specific names to these rocks. A rock with a gneissic texture is called </w:t>
            </w:r>
            <w:proofErr w:type="gram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</w:t>
            </w:r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gneiss</w:t>
            </w:r>
            <w:proofErr w:type="gramEnd"/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.</w:t>
            </w: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  <w:p w:rsidR="00E00572" w:rsidRPr="007548E8" w:rsidRDefault="00E00572" w:rsidP="007548E8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</w:p>
        </w:tc>
      </w:tr>
    </w:tbl>
    <w:p w:rsidR="007548E8" w:rsidRPr="007548E8" w:rsidRDefault="007548E8" w:rsidP="007548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4"/>
        <w:gridCol w:w="6061"/>
        <w:gridCol w:w="3435"/>
      </w:tblGrid>
      <w:tr w:rsidR="007548E8" w:rsidRPr="007548E8" w:rsidTr="007548E8">
        <w:trPr>
          <w:tblCellSpacing w:w="0" w:type="dxa"/>
          <w:jc w:val="center"/>
        </w:trPr>
        <w:tc>
          <w:tcPr>
            <w:tcW w:w="300" w:type="dxa"/>
            <w:vAlign w:val="bottom"/>
            <w:hideMark/>
          </w:tcPr>
          <w:p w:rsidR="007548E8" w:rsidRPr="007548E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7548E8" w:rsidRPr="007548E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52400"/>
                  <wp:effectExtent l="19050" t="0" r="0" b="0"/>
                  <wp:docPr id="12" name="Picture 3" descr="alert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ert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bottom"/>
            <w:hideMark/>
          </w:tcPr>
          <w:p w:rsidR="007548E8" w:rsidRPr="007548E8" w:rsidRDefault="007548E8" w:rsidP="0075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8E8">
              <w:rPr>
                <w:rFonts w:ascii="Times" w:eastAsia="Times New Roman" w:hAnsi="Times" w:cs="Times"/>
                <w:color w:val="FF0000"/>
                <w:sz w:val="48"/>
                <w:szCs w:val="48"/>
              </w:rPr>
              <w:t>Nonfoliated</w:t>
            </w:r>
            <w:proofErr w:type="spellEnd"/>
            <w:r w:rsidRPr="007548E8">
              <w:rPr>
                <w:rFonts w:ascii="Times" w:eastAsia="Times New Roman" w:hAnsi="Times" w:cs="Times"/>
                <w:color w:val="FF0000"/>
                <w:sz w:val="48"/>
                <w:szCs w:val="48"/>
              </w:rPr>
              <w:t xml:space="preserve"> Texture</w:t>
            </w:r>
          </w:p>
        </w:tc>
      </w:tr>
      <w:tr w:rsidR="007548E8" w:rsidRPr="007548E8" w:rsidTr="007548E8">
        <w:trPr>
          <w:tblCellSpacing w:w="0" w:type="dxa"/>
          <w:jc w:val="center"/>
        </w:trPr>
        <w:tc>
          <w:tcPr>
            <w:tcW w:w="7350" w:type="dxa"/>
            <w:gridSpan w:val="3"/>
            <w:hideMark/>
          </w:tcPr>
          <w:p w:rsidR="007548E8" w:rsidRPr="007548E8" w:rsidRDefault="00B111D4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D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</w:tbl>
    <w:p w:rsidR="007548E8" w:rsidRPr="007548E8" w:rsidRDefault="007548E8" w:rsidP="007548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00"/>
      </w:tblGrid>
      <w:tr w:rsidR="007548E8" w:rsidRPr="007548E8" w:rsidTr="007548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7873" w:rsidRDefault="007548E8" w:rsidP="00E00572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Metamorphic rocks with no visible preferred orientation of mineral grains have a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nonfoliated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texture.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Nonfoliated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rocks commonly contain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equidimensional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grains of a single mineral such as quartz, calcite, or dolomite. Examples of such rocks are</w:t>
            </w:r>
          </w:p>
          <w:p w:rsidR="004E7873" w:rsidRPr="007548E8" w:rsidRDefault="004E7873" w:rsidP="004E787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1-</w:t>
            </w:r>
            <w:r w:rsidR="007548E8"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gramStart"/>
            <w:r w:rsidR="007548E8" w:rsidRPr="00E00572"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 xml:space="preserve">quartzite </w:t>
            </w:r>
            <w:r w:rsidR="007548E8" w:rsidRPr="007548E8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proofErr w:type="gramEnd"/>
            <w:r w:rsidR="007548E8"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formed from a quartz sandstone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</w:t>
            </w:r>
            <w:r w:rsidRPr="00E00572">
              <w:rPr>
                <w:rFonts w:ascii="Garamond" w:eastAsia="Times New Roman" w:hAnsi="Garamond" w:cs="Times New Roman"/>
                <w:sz w:val="32"/>
                <w:szCs w:val="32"/>
              </w:rPr>
              <w:t>Quartzite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metamorphosed conglomerate can be distinguished from their sedimentary equivalents by the fact that they break </w:t>
            </w:r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across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the quartz grains, not around them..</w:t>
            </w:r>
          </w:p>
          <w:p w:rsidR="004E7873" w:rsidRDefault="004E7873" w:rsidP="00E00572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4E7873" w:rsidRDefault="004E7873" w:rsidP="00E00572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 xml:space="preserve">2- </w:t>
            </w:r>
            <w:proofErr w:type="gramStart"/>
            <w:r w:rsidR="007548E8" w:rsidRPr="00E00572"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 xml:space="preserve">marble </w:t>
            </w:r>
            <w:r w:rsidR="007548E8" w:rsidRPr="00E00572">
              <w:rPr>
                <w:rFonts w:ascii="Garamond" w:eastAsia="Times New Roman" w:hAnsi="Garamond" w:cs="Times New Roman"/>
                <w:sz w:val="36"/>
                <w:szCs w:val="36"/>
              </w:rPr>
              <w:t>,</w:t>
            </w:r>
            <w:proofErr w:type="gramEnd"/>
            <w:r w:rsidR="007548E8"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formed from a limestone or dolomite.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Marble has a crystalline appearance and generally has larger mineral grains than its sedimentary equivalent</w:t>
            </w:r>
          </w:p>
          <w:p w:rsidR="004E7873" w:rsidRDefault="004E7873" w:rsidP="004E787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3- </w:t>
            </w:r>
            <w:r w:rsidR="007548E8"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E7873"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>Hornfel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formed from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basalt  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fine-grained (dense-textured), </w:t>
            </w:r>
            <w:proofErr w:type="spellStart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>nonfoliated</w:t>
            </w:r>
            <w:proofErr w:type="spellEnd"/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rock usually of contact metamorphic origin is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</w:t>
            </w:r>
          </w:p>
          <w:p w:rsidR="004E7873" w:rsidRDefault="004E7873" w:rsidP="004E787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 xml:space="preserve">4- </w:t>
            </w:r>
            <w:r w:rsidRPr="00E00572"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>anthracite coal</w:t>
            </w:r>
            <w:r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 xml:space="preserve">  </w:t>
            </w:r>
            <w:r w:rsidRPr="007548E8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metamorphic equivalent of bituminous coal </w:t>
            </w:r>
          </w:p>
          <w:p w:rsidR="004E7873" w:rsidRDefault="004E7873" w:rsidP="004E787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7548E8" w:rsidRPr="007548E8" w:rsidRDefault="004E7873" w:rsidP="004E787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</w:t>
            </w:r>
          </w:p>
          <w:p w:rsidR="007548E8" w:rsidRPr="007548E8" w:rsidRDefault="007548E8" w:rsidP="00754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8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Examples of </w:t>
            </w:r>
            <w:proofErr w:type="spellStart"/>
            <w:r w:rsidRPr="007548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Nonfoliated</w:t>
            </w:r>
            <w:proofErr w:type="spellEnd"/>
            <w:r w:rsidRPr="007548E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Texture</w:t>
            </w:r>
            <w:r w:rsidRPr="0075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8E8" w:rsidRPr="007548E8" w:rsidRDefault="007548E8" w:rsidP="00754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381125"/>
                  <wp:effectExtent l="19050" t="0" r="0" b="0"/>
                  <wp:docPr id="11" name="Picture 5" descr="http://geology.csupomona.edu/alert/metamorphic/quartz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ology.csupomona.edu/alert/metamorphic/quartz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09700"/>
                  <wp:effectExtent l="19050" t="0" r="0" b="0"/>
                  <wp:docPr id="10" name="Picture 6" descr="http://geology.csupomona.edu/alert/metamorphic/mar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eology.csupomona.edu/alert/metamorphic/mar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8E8" w:rsidRPr="007548E8" w:rsidRDefault="007548E8" w:rsidP="004E7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572">
              <w:rPr>
                <w:rFonts w:ascii="Garamond" w:eastAsia="Times New Roman" w:hAnsi="Garamond" w:cs="Times New Roman"/>
                <w:i/>
                <w:iCs/>
                <w:sz w:val="36"/>
                <w:szCs w:val="36"/>
              </w:rPr>
              <w:t>.</w:t>
            </w:r>
            <w:r w:rsidRPr="007548E8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4D3BD3" w:rsidRDefault="004D3BD3"/>
    <w:sectPr w:rsidR="004D3BD3" w:rsidSect="00C74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7071"/>
    <w:rsid w:val="004D3BD3"/>
    <w:rsid w:val="004E7873"/>
    <w:rsid w:val="005B7071"/>
    <w:rsid w:val="007548E8"/>
    <w:rsid w:val="00AB6533"/>
    <w:rsid w:val="00B111D4"/>
    <w:rsid w:val="00C744B3"/>
    <w:rsid w:val="00E0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071"/>
    <w:rPr>
      <w:i/>
      <w:iCs/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2011-03-28T08:55:00Z</dcterms:created>
  <dcterms:modified xsi:type="dcterms:W3CDTF">2011-04-30T09:57:00Z</dcterms:modified>
</cp:coreProperties>
</file>