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5" w:rsidRDefault="008F6237" w:rsidP="002938F5">
      <w:pPr>
        <w:spacing w:after="0" w:line="360" w:lineRule="auto"/>
        <w:ind w:left="-1080" w:right="-900" w:firstLine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38F5">
        <w:rPr>
          <w:rFonts w:asciiTheme="majorBidi" w:hAnsiTheme="majorBidi" w:cstheme="majorBidi"/>
          <w:b/>
          <w:bCs/>
          <w:sz w:val="28"/>
          <w:szCs w:val="28"/>
        </w:rPr>
        <w:t>Eurozone Inflation stabilizes at 0.2% in July</w:t>
      </w:r>
    </w:p>
    <w:p w:rsidR="002938F5" w:rsidRDefault="002938F5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</w:p>
    <w:p w:rsidR="002938F5" w:rsidRDefault="002938F5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Routers – Brussels</w:t>
      </w:r>
    </w:p>
    <w:p w:rsidR="008F6237" w:rsidRPr="002938F5" w:rsidRDefault="008F6237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Inflation rate in </w:t>
      </w:r>
      <w:r w:rsidR="00FF2224">
        <w:rPr>
          <w:rFonts w:asciiTheme="majorBidi" w:hAnsiTheme="majorBidi" w:cstheme="majorBidi"/>
          <w:sz w:val="28"/>
          <w:szCs w:val="28"/>
        </w:rPr>
        <w:t xml:space="preserve">the </w:t>
      </w:r>
      <w:r w:rsidRPr="002938F5">
        <w:rPr>
          <w:rFonts w:asciiTheme="majorBidi" w:hAnsiTheme="majorBidi" w:cstheme="majorBidi"/>
          <w:sz w:val="28"/>
          <w:szCs w:val="28"/>
        </w:rPr>
        <w:t xml:space="preserve">Eurozone stabilized without any changes in July with the decline of energy prices which decreased the influence of the rise of </w:t>
      </w:r>
      <w:r w:rsidR="00832F77" w:rsidRPr="002938F5">
        <w:rPr>
          <w:rFonts w:asciiTheme="majorBidi" w:hAnsiTheme="majorBidi" w:cstheme="majorBidi"/>
          <w:sz w:val="28"/>
          <w:szCs w:val="28"/>
        </w:rPr>
        <w:t>goods</w:t>
      </w:r>
      <w:r w:rsidRPr="002938F5">
        <w:rPr>
          <w:rFonts w:asciiTheme="majorBidi" w:hAnsiTheme="majorBidi" w:cstheme="majorBidi"/>
          <w:sz w:val="28"/>
          <w:szCs w:val="28"/>
        </w:rPr>
        <w:t xml:space="preserve"> and services prices.</w:t>
      </w:r>
    </w:p>
    <w:p w:rsidR="008F6237" w:rsidRPr="002938F5" w:rsidRDefault="004376E0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Statistical O</w:t>
      </w:r>
      <w:r w:rsidR="00FF2224">
        <w:rPr>
          <w:rFonts w:asciiTheme="majorBidi" w:hAnsiTheme="majorBidi" w:cstheme="majorBidi"/>
          <w:sz w:val="28"/>
          <w:szCs w:val="28"/>
        </w:rPr>
        <w:t>ffice of the European Union</w:t>
      </w:r>
      <w:r w:rsidR="008F6237" w:rsidRPr="002938F5">
        <w:rPr>
          <w:rFonts w:asciiTheme="majorBidi" w:hAnsiTheme="majorBidi" w:cstheme="majorBidi"/>
          <w:sz w:val="28"/>
          <w:szCs w:val="28"/>
        </w:rPr>
        <w:t xml:space="preserve"> (Eurostat) indicated on Friday that consumers prices in the 19 </w:t>
      </w:r>
      <w:r w:rsidR="00E53E19" w:rsidRPr="002938F5">
        <w:rPr>
          <w:rFonts w:asciiTheme="majorBidi" w:hAnsiTheme="majorBidi" w:cstheme="majorBidi"/>
          <w:sz w:val="28"/>
          <w:szCs w:val="28"/>
        </w:rPr>
        <w:t xml:space="preserve">Eurozone </w:t>
      </w:r>
      <w:r w:rsidR="002B5108" w:rsidRPr="002938F5">
        <w:rPr>
          <w:rFonts w:asciiTheme="majorBidi" w:hAnsiTheme="majorBidi" w:cstheme="majorBidi"/>
          <w:sz w:val="28"/>
          <w:szCs w:val="28"/>
        </w:rPr>
        <w:t>member countries</w:t>
      </w:r>
      <w:r w:rsidR="008F6237" w:rsidRPr="002938F5">
        <w:rPr>
          <w:rFonts w:asciiTheme="majorBidi" w:hAnsiTheme="majorBidi" w:cstheme="majorBidi"/>
          <w:sz w:val="28"/>
          <w:szCs w:val="28"/>
        </w:rPr>
        <w:t xml:space="preserve"> </w:t>
      </w:r>
      <w:r w:rsidR="00E53E19" w:rsidRPr="002938F5">
        <w:rPr>
          <w:rFonts w:asciiTheme="majorBidi" w:hAnsiTheme="majorBidi" w:cstheme="majorBidi"/>
          <w:sz w:val="28"/>
          <w:szCs w:val="28"/>
        </w:rPr>
        <w:t>increased 0.2% in July, the same percentage in June.</w:t>
      </w:r>
    </w:p>
    <w:p w:rsidR="009214CC" w:rsidRPr="002938F5" w:rsidRDefault="00E53E19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Reports issued yesterday, Thursday, indicated inflation by 0.1% only in Germany, and price de</w:t>
      </w:r>
      <w:r w:rsidR="00302C57" w:rsidRPr="002938F5">
        <w:rPr>
          <w:rFonts w:asciiTheme="majorBidi" w:hAnsiTheme="majorBidi" w:cstheme="majorBidi"/>
          <w:sz w:val="28"/>
          <w:szCs w:val="28"/>
        </w:rPr>
        <w:t>flation in Spain in July.</w:t>
      </w:r>
    </w:p>
    <w:p w:rsidR="009214CC" w:rsidRPr="002938F5" w:rsidRDefault="009214CC" w:rsidP="002938F5">
      <w:pPr>
        <w:spacing w:after="0"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</w:p>
    <w:p w:rsidR="002938F5" w:rsidRDefault="00E53E19" w:rsidP="002938F5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>Prices increased 0.9 % compared to 0.8% in June. Energy prices decreased 5.6%. Unprocessed food</w:t>
      </w:r>
      <w:r w:rsidR="00302C57" w:rsidRPr="002938F5">
        <w:rPr>
          <w:rFonts w:asciiTheme="majorBidi" w:hAnsiTheme="majorBidi" w:cstheme="majorBidi"/>
          <w:sz w:val="28"/>
          <w:szCs w:val="28"/>
        </w:rPr>
        <w:t>s</w:t>
      </w:r>
      <w:r w:rsidRPr="002938F5">
        <w:rPr>
          <w:rFonts w:asciiTheme="majorBidi" w:hAnsiTheme="majorBidi" w:cstheme="majorBidi"/>
          <w:sz w:val="28"/>
          <w:szCs w:val="28"/>
        </w:rPr>
        <w:t xml:space="preserve"> prices </w:t>
      </w:r>
      <w:r w:rsidR="002938F5" w:rsidRPr="002938F5">
        <w:rPr>
          <w:rFonts w:asciiTheme="majorBidi" w:hAnsiTheme="majorBidi" w:cstheme="majorBidi"/>
          <w:sz w:val="28"/>
          <w:szCs w:val="28"/>
        </w:rPr>
        <w:t>rose 1.3</w:t>
      </w:r>
      <w:r w:rsidRPr="002938F5">
        <w:rPr>
          <w:rFonts w:asciiTheme="majorBidi" w:hAnsiTheme="majorBidi" w:cstheme="majorBidi"/>
          <w:sz w:val="28"/>
          <w:szCs w:val="28"/>
        </w:rPr>
        <w:t>% in July.</w:t>
      </w:r>
    </w:p>
    <w:p w:rsidR="00E53E19" w:rsidRPr="002938F5" w:rsidRDefault="00E53E19" w:rsidP="002938F5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proofErr w:type="gramStart"/>
      <w:r w:rsidRPr="002938F5">
        <w:rPr>
          <w:rFonts w:asciiTheme="majorBidi" w:hAnsiTheme="majorBidi" w:cstheme="majorBidi"/>
          <w:sz w:val="28"/>
          <w:szCs w:val="28"/>
        </w:rPr>
        <w:t xml:space="preserve">The inflation rate of services and </w:t>
      </w:r>
      <w:r w:rsidR="005F7003" w:rsidRPr="002938F5">
        <w:rPr>
          <w:rFonts w:asciiTheme="majorBidi" w:hAnsiTheme="majorBidi" w:cstheme="majorBidi"/>
          <w:sz w:val="28"/>
          <w:szCs w:val="28"/>
        </w:rPr>
        <w:t>industrial</w:t>
      </w:r>
      <w:r w:rsidRPr="002938F5">
        <w:rPr>
          <w:rFonts w:asciiTheme="majorBidi" w:hAnsiTheme="majorBidi" w:cstheme="majorBidi"/>
          <w:sz w:val="28"/>
          <w:szCs w:val="28"/>
        </w:rPr>
        <w:t xml:space="preserve"> products prices accelerated by 0.5%.</w:t>
      </w:r>
      <w:proofErr w:type="gramEnd"/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</w:p>
    <w:p w:rsidR="00DB341A" w:rsidRDefault="00E53E19" w:rsidP="00DB341A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In April price deflation in </w:t>
      </w:r>
      <w:r w:rsidR="00FF2224">
        <w:rPr>
          <w:rFonts w:asciiTheme="majorBidi" w:hAnsiTheme="majorBidi" w:cstheme="majorBidi"/>
          <w:sz w:val="28"/>
          <w:szCs w:val="28"/>
        </w:rPr>
        <w:t xml:space="preserve">the </w:t>
      </w:r>
      <w:r w:rsidRPr="002938F5">
        <w:rPr>
          <w:rFonts w:asciiTheme="majorBidi" w:hAnsiTheme="majorBidi" w:cstheme="majorBidi"/>
          <w:sz w:val="28"/>
          <w:szCs w:val="28"/>
        </w:rPr>
        <w:t xml:space="preserve">Eurozone stopped after continuing for 4 months, but the inflation is still </w:t>
      </w:r>
      <w:r w:rsidR="00954284" w:rsidRPr="002938F5">
        <w:rPr>
          <w:rFonts w:asciiTheme="majorBidi" w:hAnsiTheme="majorBidi" w:cstheme="majorBidi"/>
          <w:sz w:val="28"/>
          <w:szCs w:val="28"/>
        </w:rPr>
        <w:t xml:space="preserve">much </w:t>
      </w:r>
      <w:r w:rsidRPr="002938F5">
        <w:rPr>
          <w:rFonts w:asciiTheme="majorBidi" w:hAnsiTheme="majorBidi" w:cstheme="majorBidi"/>
          <w:sz w:val="28"/>
          <w:szCs w:val="28"/>
        </w:rPr>
        <w:t xml:space="preserve">lower than the </w:t>
      </w:r>
      <w:r w:rsidR="005F7003" w:rsidRPr="002938F5">
        <w:rPr>
          <w:rFonts w:asciiTheme="majorBidi" w:hAnsiTheme="majorBidi" w:cstheme="majorBidi"/>
          <w:sz w:val="28"/>
          <w:szCs w:val="28"/>
        </w:rPr>
        <w:t xml:space="preserve">level </w:t>
      </w:r>
      <w:r w:rsidRPr="002938F5">
        <w:rPr>
          <w:rFonts w:asciiTheme="majorBidi" w:hAnsiTheme="majorBidi" w:cstheme="majorBidi"/>
          <w:sz w:val="28"/>
          <w:szCs w:val="28"/>
        </w:rPr>
        <w:t>target</w:t>
      </w:r>
      <w:r w:rsidR="005F7003" w:rsidRPr="002938F5">
        <w:rPr>
          <w:rFonts w:asciiTheme="majorBidi" w:hAnsiTheme="majorBidi" w:cstheme="majorBidi"/>
          <w:sz w:val="28"/>
          <w:szCs w:val="28"/>
        </w:rPr>
        <w:t>ed</w:t>
      </w:r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  <w:r w:rsidR="005F7003" w:rsidRPr="002938F5">
        <w:rPr>
          <w:rFonts w:asciiTheme="majorBidi" w:hAnsiTheme="majorBidi" w:cstheme="majorBidi"/>
          <w:sz w:val="28"/>
          <w:szCs w:val="28"/>
        </w:rPr>
        <w:t>by</w:t>
      </w:r>
      <w:r w:rsidRPr="002938F5">
        <w:rPr>
          <w:rFonts w:asciiTheme="majorBidi" w:hAnsiTheme="majorBidi" w:cstheme="majorBidi"/>
          <w:sz w:val="28"/>
          <w:szCs w:val="28"/>
        </w:rPr>
        <w:t xml:space="preserve"> the European Central Bank </w:t>
      </w:r>
      <w:r w:rsidR="00954284" w:rsidRPr="002938F5">
        <w:rPr>
          <w:rFonts w:asciiTheme="majorBidi" w:hAnsiTheme="majorBidi" w:cstheme="majorBidi"/>
          <w:sz w:val="28"/>
          <w:szCs w:val="28"/>
        </w:rPr>
        <w:t xml:space="preserve">and is </w:t>
      </w:r>
      <w:r w:rsidR="003D70BF" w:rsidRPr="002938F5">
        <w:rPr>
          <w:rFonts w:asciiTheme="majorBidi" w:hAnsiTheme="majorBidi" w:cstheme="majorBidi"/>
          <w:sz w:val="28"/>
          <w:szCs w:val="28"/>
        </w:rPr>
        <w:t xml:space="preserve">slightly </w:t>
      </w:r>
      <w:r w:rsidR="00954284" w:rsidRPr="002938F5">
        <w:rPr>
          <w:rFonts w:asciiTheme="majorBidi" w:hAnsiTheme="majorBidi" w:cstheme="majorBidi"/>
          <w:sz w:val="28"/>
          <w:szCs w:val="28"/>
        </w:rPr>
        <w:t>below</w:t>
      </w:r>
      <w:r w:rsidR="0024560F" w:rsidRPr="002938F5">
        <w:rPr>
          <w:rFonts w:asciiTheme="majorBidi" w:hAnsiTheme="majorBidi" w:cstheme="majorBidi"/>
          <w:sz w:val="28"/>
          <w:szCs w:val="28"/>
        </w:rPr>
        <w:t xml:space="preserve"> 2%.</w:t>
      </w:r>
    </w:p>
    <w:p w:rsidR="0024560F" w:rsidRPr="002938F5" w:rsidRDefault="00DB341A" w:rsidP="00DB341A">
      <w:pPr>
        <w:spacing w:line="360" w:lineRule="auto"/>
        <w:ind w:left="-1080" w:right="-900"/>
        <w:rPr>
          <w:rFonts w:asciiTheme="majorBidi" w:hAnsiTheme="majorBidi" w:cstheme="majorBidi"/>
          <w:sz w:val="28"/>
          <w:szCs w:val="28"/>
        </w:rPr>
      </w:pPr>
      <w:r w:rsidRPr="00DB341A">
        <w:rPr>
          <w:rFonts w:asciiTheme="majorBidi" w:hAnsiTheme="majorBidi" w:cstheme="majorBidi"/>
          <w:sz w:val="28"/>
          <w:szCs w:val="28"/>
        </w:rPr>
        <w:t xml:space="preserve">On Friday, Eurostat </w:t>
      </w:r>
      <w:r w:rsidR="00FF2224">
        <w:rPr>
          <w:rFonts w:asciiTheme="majorBidi" w:hAnsiTheme="majorBidi" w:cstheme="majorBidi"/>
          <w:sz w:val="28"/>
          <w:szCs w:val="28"/>
        </w:rPr>
        <w:t xml:space="preserve">also </w:t>
      </w:r>
      <w:r w:rsidRPr="00DB341A">
        <w:rPr>
          <w:rFonts w:asciiTheme="majorBidi" w:hAnsiTheme="majorBidi" w:cstheme="majorBidi"/>
          <w:sz w:val="28"/>
          <w:szCs w:val="28"/>
        </w:rPr>
        <w:t>stated that the unemployment rate in the Eurozone had reached 11.1% in June for the third consecutive month</w:t>
      </w:r>
      <w:r w:rsidR="00FF2224">
        <w:rPr>
          <w:rFonts w:asciiTheme="majorBidi" w:hAnsiTheme="majorBidi" w:cstheme="majorBidi"/>
          <w:sz w:val="28"/>
          <w:szCs w:val="28"/>
        </w:rPr>
        <w:t xml:space="preserve"> (for the third month in a row)</w:t>
      </w:r>
      <w:r w:rsidRPr="00DB341A">
        <w:rPr>
          <w:rFonts w:asciiTheme="majorBidi" w:hAnsiTheme="majorBidi" w:cstheme="majorBidi"/>
          <w:sz w:val="28"/>
          <w:szCs w:val="28"/>
        </w:rPr>
        <w:t xml:space="preserve">. Germany recorded the lowest unemployment rate in the Eurozone, at 4.7%. According to </w:t>
      </w:r>
      <w:proofErr w:type="spellStart"/>
      <w:r w:rsidRPr="00DB341A">
        <w:rPr>
          <w:rFonts w:asciiTheme="majorBidi" w:hAnsiTheme="majorBidi" w:cstheme="majorBidi"/>
          <w:sz w:val="28"/>
          <w:szCs w:val="28"/>
        </w:rPr>
        <w:t>Abri</w:t>
      </w:r>
      <w:proofErr w:type="spellEnd"/>
      <w:r w:rsidRPr="00DB341A">
        <w:rPr>
          <w:rFonts w:asciiTheme="majorBidi" w:hAnsiTheme="majorBidi" w:cstheme="majorBidi"/>
          <w:sz w:val="28"/>
          <w:szCs w:val="28"/>
        </w:rPr>
        <w:t xml:space="preserve">, Greece recorded the highest, at 25.6%. In June, the total number of </w:t>
      </w:r>
      <w:r w:rsidR="00425818">
        <w:rPr>
          <w:rFonts w:asciiTheme="majorBidi" w:hAnsiTheme="majorBidi" w:cstheme="majorBidi"/>
          <w:sz w:val="28"/>
          <w:szCs w:val="28"/>
        </w:rPr>
        <w:t xml:space="preserve">the </w:t>
      </w:r>
      <w:bookmarkStart w:id="0" w:name="_GoBack"/>
      <w:bookmarkEnd w:id="0"/>
      <w:r w:rsidRPr="00DB341A">
        <w:rPr>
          <w:rFonts w:asciiTheme="majorBidi" w:hAnsiTheme="majorBidi" w:cstheme="majorBidi"/>
          <w:sz w:val="28"/>
          <w:szCs w:val="28"/>
        </w:rPr>
        <w:t>unemployed in the Eurozone increased by 31,000 compared to May.</w:t>
      </w:r>
    </w:p>
    <w:p w:rsidR="00E53E19" w:rsidRPr="002938F5" w:rsidRDefault="00E53E19" w:rsidP="002938F5">
      <w:pPr>
        <w:spacing w:line="360" w:lineRule="auto"/>
        <w:ind w:left="-1080" w:right="-900" w:firstLine="1080"/>
        <w:rPr>
          <w:rFonts w:asciiTheme="majorBidi" w:hAnsiTheme="majorBidi" w:cstheme="majorBidi"/>
          <w:sz w:val="28"/>
          <w:szCs w:val="28"/>
        </w:rPr>
      </w:pPr>
      <w:r w:rsidRPr="002938F5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E53E19" w:rsidRPr="002938F5" w:rsidSect="002938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5B" w:rsidRDefault="003B365B" w:rsidP="00832F77">
      <w:pPr>
        <w:spacing w:after="0" w:line="240" w:lineRule="auto"/>
      </w:pPr>
      <w:r>
        <w:separator/>
      </w:r>
    </w:p>
  </w:endnote>
  <w:endnote w:type="continuationSeparator" w:id="0">
    <w:p w:rsidR="003B365B" w:rsidRDefault="003B365B" w:rsidP="0083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5B" w:rsidRDefault="003B365B" w:rsidP="00832F77">
      <w:pPr>
        <w:spacing w:after="0" w:line="240" w:lineRule="auto"/>
      </w:pPr>
      <w:r>
        <w:separator/>
      </w:r>
    </w:p>
  </w:footnote>
  <w:footnote w:type="continuationSeparator" w:id="0">
    <w:p w:rsidR="003B365B" w:rsidRDefault="003B365B" w:rsidP="0083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7"/>
    <w:rsid w:val="0024560F"/>
    <w:rsid w:val="002938F5"/>
    <w:rsid w:val="002B5108"/>
    <w:rsid w:val="00302C57"/>
    <w:rsid w:val="003B365B"/>
    <w:rsid w:val="003D70BF"/>
    <w:rsid w:val="00425818"/>
    <w:rsid w:val="004376E0"/>
    <w:rsid w:val="005F7003"/>
    <w:rsid w:val="00753EAE"/>
    <w:rsid w:val="0077768B"/>
    <w:rsid w:val="00817961"/>
    <w:rsid w:val="00832F77"/>
    <w:rsid w:val="008F6237"/>
    <w:rsid w:val="009214CC"/>
    <w:rsid w:val="00954284"/>
    <w:rsid w:val="00A211E0"/>
    <w:rsid w:val="00AB3E6C"/>
    <w:rsid w:val="00DB341A"/>
    <w:rsid w:val="00E53E19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card-ttl-txt1">
    <w:name w:val="gt-card-ttl-txt1"/>
    <w:basedOn w:val="DefaultParagraphFont"/>
    <w:rsid w:val="008F6237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77"/>
  </w:style>
  <w:style w:type="paragraph" w:styleId="Footer">
    <w:name w:val="footer"/>
    <w:basedOn w:val="Normal"/>
    <w:link w:val="Foot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card-ttl-txt1">
    <w:name w:val="gt-card-ttl-txt1"/>
    <w:basedOn w:val="DefaultParagraphFont"/>
    <w:rsid w:val="008F6237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77"/>
  </w:style>
  <w:style w:type="paragraph" w:styleId="Footer">
    <w:name w:val="footer"/>
    <w:basedOn w:val="Normal"/>
    <w:link w:val="FooterChar"/>
    <w:uiPriority w:val="99"/>
    <w:unhideWhenUsed/>
    <w:rsid w:val="0083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Kathiri</dc:creator>
  <cp:lastModifiedBy>Sarah A Aldawood</cp:lastModifiedBy>
  <cp:revision>9</cp:revision>
  <dcterms:created xsi:type="dcterms:W3CDTF">2015-12-07T05:14:00Z</dcterms:created>
  <dcterms:modified xsi:type="dcterms:W3CDTF">2016-12-18T06:51:00Z</dcterms:modified>
</cp:coreProperties>
</file>