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C3" w:rsidRDefault="00D74BC3" w:rsidP="002C64BB">
      <w:pPr>
        <w:bidi/>
        <w:rPr>
          <w:rtl/>
        </w:rPr>
      </w:pPr>
      <w:r>
        <w:rPr>
          <w:rFonts w:hint="cs"/>
          <w:rtl/>
        </w:rPr>
        <w:t xml:space="preserve">اسم المقرر: </w:t>
      </w:r>
      <w:r w:rsidR="003C71A4">
        <w:rPr>
          <w:rFonts w:hint="cs"/>
          <w:rtl/>
        </w:rPr>
        <w:t xml:space="preserve">علم النفس الإحصائي </w:t>
      </w:r>
      <w:r w:rsidR="002C64BB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ab/>
        <w:t xml:space="preserve">رمزه: </w:t>
      </w:r>
      <w:r w:rsidR="003C71A4">
        <w:rPr>
          <w:rFonts w:hint="cs"/>
          <w:rtl/>
        </w:rPr>
        <w:t>25</w:t>
      </w:r>
      <w:r w:rsidR="002C64BB">
        <w:rPr>
          <w:rFonts w:hint="cs"/>
          <w:rtl/>
        </w:rPr>
        <w:t>3</w:t>
      </w:r>
      <w:r>
        <w:rPr>
          <w:rFonts w:hint="cs"/>
          <w:rtl/>
        </w:rPr>
        <w:t xml:space="preserve"> نفس</w:t>
      </w:r>
    </w:p>
    <w:p w:rsidR="00D74BC3" w:rsidRDefault="00D74BC3" w:rsidP="00D74BC3">
      <w:pPr>
        <w:bidi/>
        <w:jc w:val="center"/>
        <w:rPr>
          <w:rtl/>
        </w:rPr>
      </w:pPr>
      <w:r>
        <w:rPr>
          <w:rFonts w:hint="cs"/>
          <w:rtl/>
        </w:rPr>
        <w:t>أستاذ المقرر: د. سيف بن فهد القحطاني</w:t>
      </w:r>
    </w:p>
    <w:p w:rsidR="00D74BC3" w:rsidRDefault="00D74BC3" w:rsidP="00D74BC3">
      <w:pPr>
        <w:bidi/>
        <w:jc w:val="center"/>
        <w:rPr>
          <w:rtl/>
        </w:rPr>
      </w:pPr>
      <w:r>
        <w:rPr>
          <w:rFonts w:hint="cs"/>
          <w:rtl/>
        </w:rPr>
        <w:t xml:space="preserve">البريد الإلكتروني: </w:t>
      </w:r>
      <w:hyperlink r:id="rId5" w:history="1">
        <w:r w:rsidRPr="00993998">
          <w:rPr>
            <w:rStyle w:val="Hyperlink"/>
          </w:rPr>
          <w:t>sfalkahtani@ksu.edu.sa</w:t>
        </w:r>
      </w:hyperlink>
    </w:p>
    <w:p w:rsidR="003C71A4" w:rsidRDefault="003C71A4" w:rsidP="003C71A4">
      <w:pPr>
        <w:bidi/>
        <w:jc w:val="center"/>
        <w:rPr>
          <w:rtl/>
        </w:rPr>
      </w:pPr>
      <w:r>
        <w:rPr>
          <w:rFonts w:hint="cs"/>
          <w:rtl/>
        </w:rPr>
        <w:t xml:space="preserve">الموقع الإلكتروني: </w:t>
      </w:r>
      <w:hyperlink r:id="rId6" w:history="1">
        <w:r w:rsidRPr="00043D7E">
          <w:rPr>
            <w:rStyle w:val="Hyperlink"/>
          </w:rPr>
          <w:t>http://fac.ksu.edu.sa/sfalkahtani</w:t>
        </w:r>
      </w:hyperlink>
    </w:p>
    <w:p w:rsidR="00D74BC3" w:rsidRDefault="00D74BC3" w:rsidP="008874FA">
      <w:pPr>
        <w:bidi/>
        <w:jc w:val="center"/>
        <w:rPr>
          <w:rtl/>
        </w:rPr>
      </w:pPr>
      <w:r>
        <w:rPr>
          <w:rFonts w:hint="cs"/>
          <w:rtl/>
        </w:rPr>
        <w:t>موعد المحاضرة: السبت</w:t>
      </w:r>
      <w:r w:rsidR="002C64BB">
        <w:rPr>
          <w:rFonts w:hint="cs"/>
          <w:rtl/>
        </w:rPr>
        <w:t xml:space="preserve"> والأحد</w:t>
      </w:r>
      <w:r>
        <w:rPr>
          <w:rFonts w:hint="cs"/>
          <w:rtl/>
        </w:rPr>
        <w:t xml:space="preserve"> </w:t>
      </w:r>
      <w:r w:rsidR="002C64BB">
        <w:rPr>
          <w:rFonts w:hint="cs"/>
          <w:rtl/>
        </w:rPr>
        <w:t>1</w:t>
      </w:r>
      <w:r>
        <w:rPr>
          <w:rFonts w:hint="cs"/>
          <w:rtl/>
        </w:rPr>
        <w:t>-</w:t>
      </w:r>
      <w:r w:rsidR="002C64BB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رقم القاعة: </w:t>
      </w:r>
      <w:r w:rsidR="003C71A4">
        <w:rPr>
          <w:rFonts w:hint="cs"/>
          <w:rtl/>
        </w:rPr>
        <w:t>25</w:t>
      </w:r>
      <w:r w:rsidR="008874FA">
        <w:rPr>
          <w:rFonts w:hint="cs"/>
          <w:rtl/>
        </w:rPr>
        <w:t>2</w:t>
      </w:r>
      <w:bookmarkStart w:id="0" w:name="_GoBack"/>
      <w:bookmarkEnd w:id="0"/>
      <w:r>
        <w:rPr>
          <w:rFonts w:hint="cs"/>
          <w:rtl/>
        </w:rPr>
        <w:t xml:space="preserve"> </w:t>
      </w:r>
      <w:r>
        <w:t>A</w:t>
      </w:r>
      <w:r>
        <w:rPr>
          <w:rFonts w:hint="cs"/>
          <w:rtl/>
        </w:rPr>
        <w:t xml:space="preserve">1  شعبة: </w:t>
      </w:r>
      <w:r w:rsidR="002C64BB">
        <w:rPr>
          <w:rFonts w:asciiTheme="majorHAnsi" w:hAnsiTheme="majorHAnsi" w:cstheme="majorHAnsi"/>
          <w:color w:val="666666"/>
        </w:rPr>
        <w:t>319</w:t>
      </w:r>
    </w:p>
    <w:tbl>
      <w:tblPr>
        <w:bidiVisual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542"/>
        <w:gridCol w:w="1442"/>
      </w:tblGrid>
      <w:tr w:rsidR="00D74BC3" w:rsidRPr="00202CC4" w:rsidTr="000556FA">
        <w:trPr>
          <w:trHeight w:val="340"/>
        </w:trPr>
        <w:tc>
          <w:tcPr>
            <w:tcW w:w="990" w:type="dxa"/>
            <w:tcBorders>
              <w:top w:val="thinThickThinSmallGap" w:sz="24" w:space="0" w:color="auto"/>
              <w:left w:val="nil"/>
              <w:bottom w:val="single" w:sz="18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 xml:space="preserve">م </w:t>
            </w:r>
          </w:p>
        </w:tc>
        <w:tc>
          <w:tcPr>
            <w:tcW w:w="5542" w:type="dxa"/>
            <w:tcBorders>
              <w:top w:val="thinThickThinSmallGap" w:sz="24" w:space="0" w:color="auto"/>
              <w:left w:val="nil"/>
              <w:bottom w:val="single" w:sz="18" w:space="0" w:color="auto"/>
            </w:tcBorders>
            <w:vAlign w:val="center"/>
          </w:tcPr>
          <w:p w:rsidR="00D74BC3" w:rsidRPr="00FD6F80" w:rsidRDefault="00D74BC3" w:rsidP="000556FA">
            <w:pPr>
              <w:bidi/>
              <w:ind w:left="72" w:hanging="72"/>
              <w:jc w:val="center"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  <w:t>الموضوع</w:t>
            </w:r>
          </w:p>
        </w:tc>
        <w:tc>
          <w:tcPr>
            <w:tcW w:w="1442" w:type="dxa"/>
            <w:tcBorders>
              <w:top w:val="thinThickThinSmallGap" w:sz="24" w:space="0" w:color="auto"/>
              <w:bottom w:val="single" w:sz="18" w:space="0" w:color="auto"/>
            </w:tcBorders>
            <w:vAlign w:val="center"/>
          </w:tcPr>
          <w:p w:rsidR="00D74BC3" w:rsidRPr="00FD6F80" w:rsidRDefault="00D74BC3" w:rsidP="000556FA">
            <w:pPr>
              <w:bidi/>
              <w:jc w:val="center"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  <w:t>عدد الأسابيع</w:t>
            </w:r>
          </w:p>
        </w:tc>
      </w:tr>
      <w:tr w:rsidR="00D74BC3" w:rsidRPr="00202CC4" w:rsidTr="000556FA">
        <w:trPr>
          <w:trHeight w:val="620"/>
        </w:trPr>
        <w:tc>
          <w:tcPr>
            <w:tcW w:w="990" w:type="dxa"/>
            <w:tcBorders>
              <w:top w:val="single" w:sz="18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1</w:t>
            </w:r>
          </w:p>
        </w:tc>
        <w:tc>
          <w:tcPr>
            <w:tcW w:w="5542" w:type="dxa"/>
            <w:tcBorders>
              <w:top w:val="single" w:sz="18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D74BC3" w:rsidRDefault="006A42D3" w:rsidP="00E21A22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>
              <w:rPr>
                <w:rFonts w:ascii="Simplified Arabic Fixed" w:hAnsi="Simplified Arabic Fixed" w:cs="Simplified Arabic Fixed" w:hint="cs"/>
                <w:color w:val="000000"/>
                <w:sz w:val="22"/>
                <w:szCs w:val="22"/>
                <w:rtl/>
              </w:rPr>
              <w:t>الإحصاء الوصفي (المتوسط-الوسيط-المنوال-الربيعيات-المدى-الانحراف المعياري-التباين)</w:t>
            </w:r>
          </w:p>
        </w:tc>
        <w:tc>
          <w:tcPr>
            <w:tcW w:w="1442" w:type="dxa"/>
            <w:tcBorders>
              <w:top w:val="single" w:sz="18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2</w:t>
            </w:r>
          </w:p>
        </w:tc>
      </w:tr>
      <w:tr w:rsidR="00D74BC3" w:rsidRPr="00202CC4" w:rsidTr="00913E18">
        <w:trPr>
          <w:trHeight w:val="467"/>
        </w:trPr>
        <w:tc>
          <w:tcPr>
            <w:tcW w:w="99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2</w:t>
            </w:r>
          </w:p>
        </w:tc>
        <w:tc>
          <w:tcPr>
            <w:tcW w:w="5542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E6F2B" w:rsidRDefault="00FE6F2B" w:rsidP="003A1E6D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</w:rPr>
            </w:pPr>
            <w:r w:rsidRPr="00FE6F2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معاملات </w:t>
            </w:r>
            <w:r w:rsidR="003A1E6D" w:rsidRPr="00FE6F2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الارتباط (</w:t>
            </w:r>
            <w:r w:rsidR="003A1E6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بيرسون</w:t>
            </w:r>
            <w:r w:rsidRPr="00FE6F2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،</w:t>
            </w:r>
            <w:r w:rsidR="003A1E6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سبيرمان</w:t>
            </w:r>
            <w:r w:rsidR="003A1E6D" w:rsidRPr="00FE6F2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،</w:t>
            </w:r>
            <w:r w:rsidRPr="00FE6F2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3A1E6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فاي</w:t>
            </w:r>
            <w:r w:rsidR="003A1E6D" w:rsidRPr="00FE6F2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913E18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3</w:t>
            </w:r>
          </w:p>
        </w:tc>
      </w:tr>
      <w:tr w:rsidR="00D74BC3" w:rsidRPr="00202CC4" w:rsidTr="000556FA">
        <w:trPr>
          <w:trHeight w:val="170"/>
        </w:trPr>
        <w:tc>
          <w:tcPr>
            <w:tcW w:w="99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3</w:t>
            </w:r>
          </w:p>
        </w:tc>
        <w:tc>
          <w:tcPr>
            <w:tcW w:w="5542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E6F2B" w:rsidRDefault="00FE6F2B" w:rsidP="000556FA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</w:rPr>
            </w:pPr>
            <w:r w:rsidRPr="00FE6F2B">
              <w:rPr>
                <w:rFonts w:ascii="Simplified Arabic Fixed" w:hAnsi="Simplified Arabic Fixed" w:cs="Simplified Arabic Fixed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E21A22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  <w:rtl/>
              </w:rPr>
              <w:t>لفرضيات الإحصائية :  أنواع الفروض الإحصائية- الخطأ من النوع الأول – الخطأ من النوع الثاني -  الإحصاء المعلمي - شروط الإحصاء المعلمي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913E18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2</w:t>
            </w:r>
          </w:p>
        </w:tc>
      </w:tr>
      <w:tr w:rsidR="00D74BC3" w:rsidRPr="00202CC4" w:rsidTr="00913E18">
        <w:trPr>
          <w:trHeight w:val="371"/>
        </w:trPr>
        <w:tc>
          <w:tcPr>
            <w:tcW w:w="99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542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E6F2B" w:rsidRDefault="00FE6F2B" w:rsidP="000556FA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</w:rPr>
            </w:pP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  <w:rtl/>
              </w:rPr>
              <w:t>النسبة الحرجة ، اختبار ت لعينة واحدة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913E18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2</w:t>
            </w:r>
          </w:p>
        </w:tc>
      </w:tr>
      <w:tr w:rsidR="00D74BC3" w:rsidRPr="00202CC4" w:rsidTr="00913E18">
        <w:trPr>
          <w:trHeight w:val="546"/>
        </w:trPr>
        <w:tc>
          <w:tcPr>
            <w:tcW w:w="99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542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E6F2B" w:rsidRDefault="00FE6F2B" w:rsidP="000556FA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</w:rPr>
            </w:pP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  <w:rtl/>
              </w:rPr>
              <w:t>اختبار ت لعينتين مستقلتين ومرتبطتين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  <w:t>2</w:t>
            </w:r>
          </w:p>
        </w:tc>
      </w:tr>
      <w:tr w:rsidR="00D74BC3" w:rsidRPr="00202CC4" w:rsidTr="000556FA">
        <w:trPr>
          <w:trHeight w:val="170"/>
        </w:trPr>
        <w:tc>
          <w:tcPr>
            <w:tcW w:w="990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542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D74BC3" w:rsidRPr="00FE6F2B" w:rsidRDefault="00FE6F2B" w:rsidP="000556FA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</w:rPr>
            </w:pP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  <w:rtl/>
              </w:rPr>
              <w:t>اختبار تحليل التباين أحادي الاتجاه+ اختبار</w:t>
            </w: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  <w:lang w:val="en-GB"/>
              </w:rPr>
              <w:t>LSD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  <w:t>2</w:t>
            </w:r>
          </w:p>
        </w:tc>
      </w:tr>
      <w:tr w:rsidR="00FE6F2B" w:rsidRPr="00202CC4" w:rsidTr="00B67FFA">
        <w:trPr>
          <w:trHeight w:val="644"/>
        </w:trPr>
        <w:tc>
          <w:tcPr>
            <w:tcW w:w="990" w:type="dxa"/>
            <w:tcBorders>
              <w:top w:val="dotDotDash" w:sz="4" w:space="0" w:color="auto"/>
              <w:left w:val="nil"/>
              <w:right w:val="dotDotDash" w:sz="4" w:space="0" w:color="auto"/>
            </w:tcBorders>
          </w:tcPr>
          <w:p w:rsidR="00FE6F2B" w:rsidRPr="00FD6F80" w:rsidRDefault="00FE6F2B" w:rsidP="000556FA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b/>
                <w:bCs/>
                <w:sz w:val="22"/>
                <w:szCs w:val="22"/>
                <w:rtl/>
              </w:rPr>
              <w:t>7</w:t>
            </w:r>
          </w:p>
          <w:p w:rsidR="00FE6F2B" w:rsidRPr="00FD6F80" w:rsidRDefault="00FE6F2B" w:rsidP="000556FA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42" w:type="dxa"/>
            <w:tcBorders>
              <w:top w:val="dotDotDash" w:sz="4" w:space="0" w:color="auto"/>
              <w:left w:val="nil"/>
              <w:right w:val="dotDotDash" w:sz="4" w:space="0" w:color="auto"/>
            </w:tcBorders>
          </w:tcPr>
          <w:p w:rsidR="00FE6F2B" w:rsidRPr="00FE6F2B" w:rsidRDefault="00FE6F2B" w:rsidP="00FE6F2B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</w:rPr>
            </w:pP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  <w:rtl/>
              </w:rPr>
              <w:t>الاختبارات اللامعلمية</w:t>
            </w: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</w:rPr>
              <w:t xml:space="preserve"> )</w:t>
            </w: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  <w:rtl/>
              </w:rPr>
              <w:t>اختبار مربع كاي- اختبار ولكوكسون</w:t>
            </w: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</w:rPr>
              <w:t xml:space="preserve">  </w:t>
            </w: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  <w:rtl/>
              </w:rPr>
              <w:t xml:space="preserve"> اختبار مان وتني</w:t>
            </w: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</w:rPr>
              <w:t xml:space="preserve">- </w:t>
            </w:r>
            <w:r w:rsidRPr="00FE6F2B">
              <w:rPr>
                <w:rFonts w:ascii="Simplified Arabic Fixed" w:hAnsi="Simplified Arabic Fixed" w:cs="Simplified Arabic Fixed"/>
                <w:color w:val="000000"/>
                <w:sz w:val="22"/>
                <w:szCs w:val="22"/>
                <w:rtl/>
              </w:rPr>
              <w:t xml:space="preserve"> اختبار كروسكال واليس)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FE6F2B" w:rsidRPr="00FD6F80" w:rsidRDefault="00913E18" w:rsidP="000556F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2</w:t>
            </w:r>
          </w:p>
        </w:tc>
      </w:tr>
    </w:tbl>
    <w:p w:rsidR="00D74BC3" w:rsidRPr="00202CC4" w:rsidRDefault="00D74BC3" w:rsidP="00D74BC3">
      <w:pPr>
        <w:bidi/>
        <w:jc w:val="both"/>
        <w:rPr>
          <w:rFonts w:ascii="Simplified Arabic Fixed" w:hAnsi="Simplified Arabic Fixed" w:cs="Simplified Arabic Fixed"/>
        </w:rPr>
      </w:pPr>
    </w:p>
    <w:p w:rsidR="00D74BC3" w:rsidRDefault="00D74BC3" w:rsidP="00D74BC3">
      <w:pPr>
        <w:bidi/>
        <w:jc w:val="both"/>
        <w:rPr>
          <w:rFonts w:ascii="Simplified Arabic Fixed" w:hAnsi="Simplified Arabic Fixed" w:cs="Simplified Arabic Fixed"/>
          <w:rtl/>
        </w:rPr>
      </w:pPr>
      <w:r w:rsidRPr="00362257">
        <w:rPr>
          <w:rFonts w:ascii="Simplified Arabic Fixed" w:hAnsi="Simplified Arabic Fixed" w:cs="Simplified Arabic Fixed"/>
          <w:b/>
          <w:bCs/>
          <w:shadow/>
          <w:rtl/>
        </w:rPr>
        <w:t xml:space="preserve">تحديد الجدول الزمني  </w:t>
      </w:r>
      <w:r>
        <w:rPr>
          <w:rFonts w:ascii="Simplified Arabic Fixed" w:hAnsi="Simplified Arabic Fixed" w:cs="Simplified Arabic Fixed" w:hint="cs"/>
          <w:b/>
          <w:bCs/>
          <w:shadow/>
          <w:rtl/>
        </w:rPr>
        <w:t>ل</w:t>
      </w:r>
      <w:r w:rsidRPr="00362257">
        <w:rPr>
          <w:rFonts w:ascii="Simplified Arabic Fixed" w:hAnsi="Simplified Arabic Fixed" w:cs="Simplified Arabic Fixed"/>
          <w:b/>
          <w:bCs/>
          <w:shadow/>
          <w:rtl/>
        </w:rPr>
        <w:t>تقييم الطلبة وفقها خلال الفصل الدراسي</w:t>
      </w:r>
      <w:r>
        <w:rPr>
          <w:rFonts w:ascii="Simplified Arabic Fixed" w:hAnsi="Simplified Arabic Fixed" w:cs="Simplified Arabic Fixed" w:hint="cs"/>
          <w:rtl/>
        </w:rPr>
        <w:tab/>
      </w:r>
    </w:p>
    <w:p w:rsidR="00D74BC3" w:rsidRPr="00202CC4" w:rsidRDefault="00D74BC3" w:rsidP="00D74BC3">
      <w:pPr>
        <w:bidi/>
        <w:jc w:val="both"/>
        <w:rPr>
          <w:rFonts w:ascii="Simplified Arabic Fixed" w:hAnsi="Simplified Arabic Fixed" w:cs="Simplified Arabic Fixed"/>
        </w:rPr>
      </w:pPr>
      <w:r>
        <w:rPr>
          <w:rFonts w:ascii="Simplified Arabic Fixed" w:hAnsi="Simplified Arabic Fixed" w:cs="Simplified Arabic Fixed" w:hint="cs"/>
          <w:rtl/>
        </w:rPr>
        <w:t xml:space="preserve">  </w:t>
      </w:r>
    </w:p>
    <w:tbl>
      <w:tblPr>
        <w:bidiVisual/>
        <w:tblW w:w="8398" w:type="dxa"/>
        <w:tblInd w:w="246" w:type="dxa"/>
        <w:tblBorders>
          <w:top w:val="thickThinSmallGap" w:sz="24" w:space="0" w:color="auto"/>
          <w:bottom w:val="thickThinSmallGap" w:sz="2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135"/>
        <w:gridCol w:w="1648"/>
        <w:gridCol w:w="1428"/>
      </w:tblGrid>
      <w:tr w:rsidR="00D74BC3" w:rsidRPr="00362257" w:rsidTr="000556FA">
        <w:trPr>
          <w:trHeight w:val="786"/>
        </w:trPr>
        <w:tc>
          <w:tcPr>
            <w:tcW w:w="1187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 xml:space="preserve">رقم التقييم </w:t>
            </w:r>
          </w:p>
        </w:tc>
        <w:tc>
          <w:tcPr>
            <w:tcW w:w="4135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164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الأسبوع المستحق</w:t>
            </w:r>
          </w:p>
        </w:tc>
        <w:tc>
          <w:tcPr>
            <w:tcW w:w="142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نسبة الدرجة إلى درجة  التقييم النهائي</w:t>
            </w:r>
          </w:p>
        </w:tc>
      </w:tr>
      <w:tr w:rsidR="00D74BC3" w:rsidRPr="00362257" w:rsidTr="000556FA">
        <w:trPr>
          <w:trHeight w:val="160"/>
        </w:trPr>
        <w:tc>
          <w:tcPr>
            <w:tcW w:w="1187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1</w:t>
            </w:r>
          </w:p>
        </w:tc>
        <w:tc>
          <w:tcPr>
            <w:tcW w:w="4135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 xml:space="preserve"> اختبار فصلى </w:t>
            </w:r>
            <w:r w:rsidRPr="00FD6F8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أ</w:t>
            </w: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ول</w:t>
            </w:r>
          </w:p>
        </w:tc>
        <w:tc>
          <w:tcPr>
            <w:tcW w:w="1648" w:type="dxa"/>
          </w:tcPr>
          <w:p w:rsidR="00D74BC3" w:rsidRPr="00FD6F80" w:rsidRDefault="002C64BB" w:rsidP="002C64BB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التاسع</w:t>
            </w:r>
          </w:p>
        </w:tc>
        <w:tc>
          <w:tcPr>
            <w:tcW w:w="142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1</w:t>
            </w:r>
            <w:r w:rsidRPr="00FD6F8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5</w:t>
            </w: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%</w:t>
            </w:r>
          </w:p>
        </w:tc>
      </w:tr>
      <w:tr w:rsidR="00D74BC3" w:rsidRPr="00362257" w:rsidTr="000556FA">
        <w:trPr>
          <w:trHeight w:val="154"/>
        </w:trPr>
        <w:tc>
          <w:tcPr>
            <w:tcW w:w="1187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2</w:t>
            </w:r>
          </w:p>
        </w:tc>
        <w:tc>
          <w:tcPr>
            <w:tcW w:w="4135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 xml:space="preserve"> اختبار فصلى </w:t>
            </w:r>
            <w:r w:rsidRPr="00FD6F8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ثان</w:t>
            </w:r>
          </w:p>
        </w:tc>
        <w:tc>
          <w:tcPr>
            <w:tcW w:w="1648" w:type="dxa"/>
          </w:tcPr>
          <w:p w:rsidR="00D74BC3" w:rsidRPr="00FD6F80" w:rsidRDefault="002C64BB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الرابع عشر</w:t>
            </w:r>
          </w:p>
        </w:tc>
        <w:tc>
          <w:tcPr>
            <w:tcW w:w="142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</w:pPr>
            <w:r w:rsidRPr="00FD6F8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15%</w:t>
            </w:r>
          </w:p>
        </w:tc>
      </w:tr>
      <w:tr w:rsidR="00D74BC3" w:rsidRPr="00362257" w:rsidTr="000556FA">
        <w:trPr>
          <w:trHeight w:val="319"/>
        </w:trPr>
        <w:tc>
          <w:tcPr>
            <w:tcW w:w="1187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3</w:t>
            </w:r>
          </w:p>
        </w:tc>
        <w:tc>
          <w:tcPr>
            <w:tcW w:w="4135" w:type="dxa"/>
          </w:tcPr>
          <w:p w:rsidR="00D74BC3" w:rsidRPr="00FD6F80" w:rsidRDefault="00D74BC3" w:rsidP="003C58F0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واجبات (</w:t>
            </w:r>
            <w:r w:rsidR="003C58F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4</w:t>
            </w:r>
            <w:r w:rsidRPr="00FD6F8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-</w:t>
            </w:r>
            <w:r w:rsidR="003C58F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7</w:t>
            </w: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164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خلال الفصل الدراسي</w:t>
            </w:r>
          </w:p>
        </w:tc>
        <w:tc>
          <w:tcPr>
            <w:tcW w:w="142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10%</w:t>
            </w:r>
          </w:p>
        </w:tc>
      </w:tr>
      <w:tr w:rsidR="00D74BC3" w:rsidRPr="00362257" w:rsidTr="000556FA">
        <w:trPr>
          <w:trHeight w:val="165"/>
        </w:trPr>
        <w:tc>
          <w:tcPr>
            <w:tcW w:w="1187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5</w:t>
            </w:r>
          </w:p>
        </w:tc>
        <w:tc>
          <w:tcPr>
            <w:tcW w:w="4135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النقاش والمشاركة في المحاضرة</w:t>
            </w:r>
          </w:p>
        </w:tc>
        <w:tc>
          <w:tcPr>
            <w:tcW w:w="164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خلال العام</w:t>
            </w:r>
          </w:p>
        </w:tc>
        <w:tc>
          <w:tcPr>
            <w:tcW w:w="142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10%</w:t>
            </w:r>
          </w:p>
        </w:tc>
      </w:tr>
      <w:tr w:rsidR="00D74BC3" w:rsidRPr="00362257" w:rsidTr="000556FA">
        <w:trPr>
          <w:trHeight w:val="319"/>
        </w:trPr>
        <w:tc>
          <w:tcPr>
            <w:tcW w:w="1187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6</w:t>
            </w:r>
          </w:p>
        </w:tc>
        <w:tc>
          <w:tcPr>
            <w:tcW w:w="4135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الاختبار النهائي</w:t>
            </w:r>
          </w:p>
        </w:tc>
        <w:tc>
          <w:tcPr>
            <w:tcW w:w="164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في نهاية الفصل</w:t>
            </w:r>
          </w:p>
        </w:tc>
        <w:tc>
          <w:tcPr>
            <w:tcW w:w="1428" w:type="dxa"/>
          </w:tcPr>
          <w:p w:rsidR="00D74BC3" w:rsidRPr="00FD6F80" w:rsidRDefault="00D74BC3" w:rsidP="000556FA">
            <w:pPr>
              <w:bidi/>
              <w:rPr>
                <w:rFonts w:ascii="Simplified Arabic Fixed" w:hAnsi="Simplified Arabic Fixed" w:cs="Simplified Arabic Fixed"/>
                <w:shadow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 w:hint="cs"/>
                <w:shadow/>
                <w:sz w:val="22"/>
                <w:szCs w:val="22"/>
                <w:rtl/>
              </w:rPr>
              <w:t>4</w:t>
            </w:r>
            <w:r w:rsidRPr="00FD6F80">
              <w:rPr>
                <w:rFonts w:ascii="Simplified Arabic Fixed" w:hAnsi="Simplified Arabic Fixed" w:cs="Simplified Arabic Fixed"/>
                <w:shadow/>
                <w:sz w:val="22"/>
                <w:szCs w:val="22"/>
                <w:rtl/>
              </w:rPr>
              <w:t>0%</w:t>
            </w:r>
          </w:p>
        </w:tc>
      </w:tr>
    </w:tbl>
    <w:p w:rsidR="00D74BC3" w:rsidRPr="00202CC4" w:rsidRDefault="00D74BC3" w:rsidP="00D74BC3">
      <w:pPr>
        <w:bidi/>
        <w:rPr>
          <w:rFonts w:ascii="Simplified Arabic Fixed" w:hAnsi="Simplified Arabic Fixed" w:cs="Simplified Arabic Fixed"/>
          <w:rtl/>
        </w:rPr>
      </w:pPr>
    </w:p>
    <w:p w:rsidR="00D74BC3" w:rsidRPr="00FD6F80" w:rsidRDefault="00D74BC3" w:rsidP="00D74B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jc w:val="both"/>
        <w:rPr>
          <w:rFonts w:ascii="Simplified Arabic Fixed" w:hAnsi="Simplified Arabic Fixed" w:cs="Simplified Arabic Fixed"/>
          <w:shadow/>
          <w:sz w:val="22"/>
          <w:szCs w:val="22"/>
          <w:rtl/>
        </w:rPr>
      </w:pPr>
      <w:r w:rsidRPr="000379F8">
        <w:rPr>
          <w:rFonts w:ascii="Simplified Arabic Fixed" w:hAnsi="Simplified Arabic Fixed" w:cs="Simplified Arabic Fixed"/>
          <w:shadow/>
          <w:rtl/>
        </w:rPr>
        <w:t xml:space="preserve">  </w:t>
      </w:r>
      <w:r w:rsidRPr="00FD6F80">
        <w:rPr>
          <w:rFonts w:ascii="Simplified Arabic Fixed" w:hAnsi="Simplified Arabic Fixed" w:cs="Simplified Arabic Fixed"/>
          <w:shadow/>
          <w:sz w:val="22"/>
          <w:szCs w:val="22"/>
          <w:rtl/>
        </w:rPr>
        <w:t xml:space="preserve">الكتاب (الكتب ) الرئيسة المطلوبة: </w:t>
      </w:r>
    </w:p>
    <w:p w:rsidR="00D74BC3" w:rsidRPr="00FD6F80" w:rsidRDefault="00D74BC3" w:rsidP="00380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jc w:val="both"/>
        <w:rPr>
          <w:rFonts w:ascii="Simplified Arabic Fixed" w:hAnsi="Simplified Arabic Fixed" w:cs="Simplified Arabic Fixed"/>
          <w:shadow/>
          <w:sz w:val="22"/>
          <w:szCs w:val="22"/>
          <w:rtl/>
        </w:rPr>
      </w:pPr>
      <w:r>
        <w:rPr>
          <w:rFonts w:ascii="Simplified Arabic Fixed" w:hAnsi="Simplified Arabic Fixed" w:cs="Simplified Arabic Fixed"/>
          <w:shadow/>
          <w:rtl/>
        </w:rPr>
        <w:t xml:space="preserve">          </w:t>
      </w:r>
      <w:r w:rsidRPr="00FD6F80">
        <w:rPr>
          <w:rFonts w:ascii="Simplified Arabic Fixed" w:hAnsi="Simplified Arabic Fixed" w:cs="Simplified Arabic Fixed"/>
          <w:shadow/>
          <w:sz w:val="22"/>
          <w:szCs w:val="22"/>
          <w:rtl/>
        </w:rPr>
        <w:t xml:space="preserve">- </w:t>
      </w:r>
      <w:r w:rsidR="00380DBE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>القياس و</w:t>
      </w:r>
      <w:r w:rsidR="003C58F0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>الإحصاء</w:t>
      </w:r>
      <w:r w:rsidR="00380DBE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 xml:space="preserve"> التربوي والنفسي</w:t>
      </w:r>
      <w:r w:rsidRPr="00FD6F80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 xml:space="preserve">. </w:t>
      </w:r>
      <w:r w:rsidR="003C58F0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 xml:space="preserve"> </w:t>
      </w:r>
      <w:r w:rsidR="00380DBE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>أبو المجد إبراهيم الشوربجي وعزت عبدالحميد حسن.</w:t>
      </w:r>
      <w:r w:rsidR="003C58F0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 xml:space="preserve"> </w:t>
      </w:r>
      <w:r w:rsidR="00380DBE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>مكتبة الرشد</w:t>
      </w:r>
      <w:r w:rsidRPr="00FD6F80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>.</w:t>
      </w:r>
      <w:r w:rsidR="003C58F0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 xml:space="preserve"> </w:t>
      </w:r>
      <w:r w:rsidR="00380DBE">
        <w:rPr>
          <w:rFonts w:ascii="Simplified Arabic Fixed" w:hAnsi="Simplified Arabic Fixed" w:cs="Simplified Arabic Fixed" w:hint="cs"/>
          <w:shadow/>
          <w:sz w:val="22"/>
          <w:szCs w:val="22"/>
          <w:rtl/>
        </w:rPr>
        <w:t>1433ه</w:t>
      </w:r>
      <w:r w:rsidRPr="00FD6F80">
        <w:rPr>
          <w:rFonts w:ascii="Simplified Arabic Fixed" w:hAnsi="Simplified Arabic Fixed" w:cs="Simplified Arabic Fixed"/>
          <w:shadow/>
          <w:sz w:val="22"/>
          <w:szCs w:val="22"/>
          <w:rtl/>
        </w:rPr>
        <w:t xml:space="preserve">  </w:t>
      </w:r>
    </w:p>
    <w:p w:rsidR="00D11D4F" w:rsidRDefault="00D11D4F" w:rsidP="00D74BC3">
      <w:pPr>
        <w:bidi/>
      </w:pPr>
    </w:p>
    <w:sectPr w:rsidR="00D11D4F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BC3"/>
    <w:rsid w:val="00190BF2"/>
    <w:rsid w:val="00255E75"/>
    <w:rsid w:val="002C1BA2"/>
    <w:rsid w:val="002C64BB"/>
    <w:rsid w:val="002F1FB7"/>
    <w:rsid w:val="00380DBE"/>
    <w:rsid w:val="003A1E6D"/>
    <w:rsid w:val="003C58F0"/>
    <w:rsid w:val="003C71A4"/>
    <w:rsid w:val="006A42D3"/>
    <w:rsid w:val="006C4A97"/>
    <w:rsid w:val="008874FA"/>
    <w:rsid w:val="00913E18"/>
    <w:rsid w:val="00A405E8"/>
    <w:rsid w:val="00C06659"/>
    <w:rsid w:val="00C13642"/>
    <w:rsid w:val="00D11D4F"/>
    <w:rsid w:val="00D74BC3"/>
    <w:rsid w:val="00DC4788"/>
    <w:rsid w:val="00E21A22"/>
    <w:rsid w:val="00ED6E07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A51659-CBB8-4A73-BD92-F33C455D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C3"/>
    <w:pPr>
      <w:spacing w:after="0" w:line="240" w:lineRule="auto"/>
    </w:pPr>
    <w:rPr>
      <w:rFonts w:eastAsia="Times New Roman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eastAsiaTheme="minorHAnsi"/>
      <w:caps/>
      <w:color w:val="632423" w:themeColor="accent2" w:themeShade="80"/>
      <w:spacing w:val="20"/>
      <w:sz w:val="28"/>
      <w:szCs w:val="28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eastAsiaTheme="minorHAnsi"/>
      <w:caps/>
      <w:color w:val="632423" w:themeColor="accent2" w:themeShade="80"/>
      <w:spacing w:val="15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eastAsiaTheme="minorHAnsi"/>
      <w:caps/>
      <w:color w:val="622423" w:themeColor="accent2" w:themeShade="7F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622423" w:themeColor="accent2" w:themeShade="7F"/>
      <w:spacing w:val="10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4788"/>
    <w:pPr>
      <w:spacing w:before="320" w:after="120" w:line="252" w:lineRule="auto"/>
      <w:jc w:val="center"/>
      <w:outlineLvl w:val="4"/>
    </w:pPr>
    <w:rPr>
      <w:rFonts w:eastAsiaTheme="minorHAnsi"/>
      <w:caps/>
      <w:color w:val="622423" w:themeColor="accent2" w:themeShade="7F"/>
      <w:spacing w:val="10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4788"/>
    <w:pPr>
      <w:spacing w:after="120" w:line="252" w:lineRule="auto"/>
      <w:jc w:val="center"/>
      <w:outlineLvl w:val="5"/>
    </w:pPr>
    <w:rPr>
      <w:rFonts w:eastAsiaTheme="minorHAnsi"/>
      <w:caps/>
      <w:color w:val="943634" w:themeColor="accent2" w:themeShade="BF"/>
      <w:spacing w:val="10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4788"/>
    <w:pPr>
      <w:spacing w:after="120" w:line="252" w:lineRule="auto"/>
      <w:jc w:val="center"/>
      <w:outlineLvl w:val="6"/>
    </w:pPr>
    <w:rPr>
      <w:rFonts w:eastAsiaTheme="minorHAnsi"/>
      <w:i/>
      <w:iCs/>
      <w:caps/>
      <w:color w:val="943634" w:themeColor="accent2" w:themeShade="BF"/>
      <w:spacing w:val="10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4788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4788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788"/>
    <w:pPr>
      <w:spacing w:after="200" w:line="252" w:lineRule="auto"/>
    </w:pPr>
    <w:rPr>
      <w:rFonts w:eastAsiaTheme="minorHAnsi"/>
      <w:caps/>
      <w:spacing w:val="10"/>
      <w:sz w:val="18"/>
      <w:szCs w:val="18"/>
      <w:lang w:bidi="en-US"/>
    </w:rPr>
  </w:style>
  <w:style w:type="paragraph" w:styleId="a4">
    <w:name w:val="Title"/>
    <w:basedOn w:val="a"/>
    <w:next w:val="a"/>
    <w:link w:val="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inorHAns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Char">
    <w:name w:val="العنوان Char"/>
    <w:basedOn w:val="a0"/>
    <w:link w:val="a4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DC4788"/>
    <w:pPr>
      <w:spacing w:after="560"/>
      <w:jc w:val="center"/>
    </w:pPr>
    <w:rPr>
      <w:rFonts w:eastAsiaTheme="minorHAnsi"/>
      <w:caps/>
      <w:spacing w:val="20"/>
      <w:sz w:val="18"/>
      <w:szCs w:val="18"/>
      <w:lang w:bidi="en-US"/>
    </w:rPr>
  </w:style>
  <w:style w:type="character" w:customStyle="1" w:styleId="Char0">
    <w:name w:val="عنوان فرعي Char"/>
    <w:basedOn w:val="a0"/>
    <w:link w:val="a5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DC4788"/>
    <w:rPr>
      <w:rFonts w:eastAsiaTheme="minorHAnsi"/>
      <w:lang w:bidi="en-US"/>
    </w:rPr>
  </w:style>
  <w:style w:type="character" w:customStyle="1" w:styleId="Char1">
    <w:name w:val="بلا تباعد Char"/>
    <w:basedOn w:val="a0"/>
    <w:link w:val="a8"/>
    <w:uiPriority w:val="1"/>
    <w:rsid w:val="00DC4788"/>
  </w:style>
  <w:style w:type="paragraph" w:styleId="a9">
    <w:name w:val="List Paragraph"/>
    <w:basedOn w:val="a"/>
    <w:uiPriority w:val="34"/>
    <w:qFormat/>
    <w:rsid w:val="00DC4788"/>
    <w:pPr>
      <w:spacing w:after="200" w:line="252" w:lineRule="auto"/>
      <w:ind w:left="720"/>
      <w:contextualSpacing/>
    </w:pPr>
    <w:rPr>
      <w:rFonts w:eastAsiaTheme="minorHAnsi"/>
      <w:lang w:bidi="en-US"/>
    </w:rPr>
  </w:style>
  <w:style w:type="paragraph" w:styleId="aa">
    <w:name w:val="Quote"/>
    <w:basedOn w:val="a"/>
    <w:next w:val="a"/>
    <w:link w:val="Char2"/>
    <w:uiPriority w:val="29"/>
    <w:qFormat/>
    <w:rsid w:val="00DC4788"/>
    <w:pPr>
      <w:spacing w:after="200" w:line="252" w:lineRule="auto"/>
    </w:pPr>
    <w:rPr>
      <w:rFonts w:eastAsiaTheme="minorHAnsi"/>
      <w:i/>
      <w:iCs/>
      <w:lang w:bidi="en-US"/>
    </w:rPr>
  </w:style>
  <w:style w:type="character" w:customStyle="1" w:styleId="Char2">
    <w:name w:val="اقتباس Char"/>
    <w:basedOn w:val="a0"/>
    <w:link w:val="aa"/>
    <w:uiPriority w:val="29"/>
    <w:rsid w:val="00DC4788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eastAsiaTheme="minorHAns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Char3">
    <w:name w:val="اقتباس مكثف Char"/>
    <w:basedOn w:val="a0"/>
    <w:link w:val="ab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DC4788"/>
    <w:rPr>
      <w:i/>
      <w:iCs/>
    </w:rPr>
  </w:style>
  <w:style w:type="character" w:styleId="ad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DC4788"/>
    <w:pPr>
      <w:outlineLvl w:val="9"/>
    </w:pPr>
  </w:style>
  <w:style w:type="character" w:styleId="Hyperlink">
    <w:name w:val="Hyperlink"/>
    <w:basedOn w:val="a0"/>
    <w:uiPriority w:val="99"/>
    <w:unhideWhenUsed/>
    <w:rsid w:val="00D74BC3"/>
    <w:rPr>
      <w:color w:val="0000FF" w:themeColor="hyperlink"/>
      <w:u w:val="single"/>
    </w:rPr>
  </w:style>
  <w:style w:type="paragraph" w:styleId="af2">
    <w:name w:val="Balloon Text"/>
    <w:basedOn w:val="a"/>
    <w:link w:val="Char4"/>
    <w:uiPriority w:val="99"/>
    <w:semiHidden/>
    <w:unhideWhenUsed/>
    <w:rsid w:val="006A42D3"/>
    <w:rPr>
      <w:rFonts w:ascii="Tahoma" w:hAnsi="Tahoma" w:cs="Tahoma"/>
      <w:sz w:val="18"/>
      <w:szCs w:val="18"/>
    </w:rPr>
  </w:style>
  <w:style w:type="character" w:customStyle="1" w:styleId="Char4">
    <w:name w:val="نص في بالون Char"/>
    <w:basedOn w:val="a0"/>
    <w:link w:val="af2"/>
    <w:uiPriority w:val="99"/>
    <w:semiHidden/>
    <w:rsid w:val="006A42D3"/>
    <w:rPr>
      <w:rFonts w:ascii="Tahoma" w:eastAsia="Times New Roman" w:hAnsi="Tahoma" w:cs="Tahom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ac.ksu.edu.sa/sfalkahtani" TargetMode="External"/><Relationship Id="rId5" Type="http://schemas.openxmlformats.org/officeDocument/2006/relationships/hyperlink" Target="mailto:sfalkahtan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F226-4362-491E-BD9A-B58713CC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المستخدم</cp:lastModifiedBy>
  <cp:revision>12</cp:revision>
  <cp:lastPrinted>2013-06-08T10:01:00Z</cp:lastPrinted>
  <dcterms:created xsi:type="dcterms:W3CDTF">2013-02-08T15:58:00Z</dcterms:created>
  <dcterms:modified xsi:type="dcterms:W3CDTF">2013-06-30T09:46:00Z</dcterms:modified>
</cp:coreProperties>
</file>