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BE" w:rsidRDefault="005D01BE" w:rsidP="00620C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</w:rPr>
        <w:t>Experiment</w:t>
      </w:r>
      <w:r>
        <w:rPr>
          <w:rFonts w:asciiTheme="majorBidi" w:hAnsiTheme="majorBidi" w:cstheme="majorBidi"/>
          <w:b/>
          <w:bCs/>
          <w:sz w:val="28"/>
          <w:szCs w:val="28"/>
        </w:rPr>
        <w:t>: 6</w:t>
      </w:r>
    </w:p>
    <w:p w:rsidR="005D01BE" w:rsidRDefault="005D01BE" w:rsidP="005D01BE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D01BE" w:rsidRDefault="005D01BE" w:rsidP="005D01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D01BE">
        <w:rPr>
          <w:rFonts w:asciiTheme="majorBidi" w:hAnsiTheme="majorBidi" w:cstheme="majorBidi"/>
          <w:b/>
          <w:bCs/>
          <w:sz w:val="36"/>
          <w:szCs w:val="36"/>
        </w:rPr>
        <w:t xml:space="preserve">Color Test for Ketoses and </w:t>
      </w:r>
      <w:proofErr w:type="spellStart"/>
      <w:r w:rsidRPr="005D01BE">
        <w:rPr>
          <w:rFonts w:asciiTheme="majorBidi" w:hAnsiTheme="majorBidi" w:cstheme="majorBidi"/>
          <w:b/>
          <w:bCs/>
          <w:sz w:val="36"/>
          <w:szCs w:val="36"/>
        </w:rPr>
        <w:t>Pentoses</w:t>
      </w:r>
      <w:proofErr w:type="spellEnd"/>
    </w:p>
    <w:p w:rsidR="005D01BE" w:rsidRDefault="005D01BE" w:rsidP="005D01B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01BE" w:rsidRDefault="005D01BE" w:rsidP="005D01B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D01BE">
        <w:rPr>
          <w:rFonts w:asciiTheme="majorBidi" w:hAnsiTheme="majorBidi" w:cstheme="majorBidi"/>
          <w:b/>
          <w:bCs/>
          <w:sz w:val="28"/>
          <w:szCs w:val="28"/>
          <w:u w:val="single"/>
        </w:rPr>
        <w:t>1/</w:t>
      </w:r>
      <w:proofErr w:type="spellStart"/>
      <w:r w:rsidRPr="005D01BE">
        <w:rPr>
          <w:rFonts w:asciiTheme="majorBidi" w:hAnsiTheme="majorBidi" w:cstheme="majorBidi"/>
          <w:b/>
          <w:bCs/>
          <w:sz w:val="28"/>
          <w:szCs w:val="28"/>
          <w:u w:val="single"/>
        </w:rPr>
        <w:t>Seliwanoff's</w:t>
      </w:r>
      <w:proofErr w:type="spellEnd"/>
      <w:r w:rsidRPr="005D01B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Resorcinol Test:</w:t>
      </w:r>
    </w:p>
    <w:p w:rsidR="005D01BE" w:rsidRDefault="005D01BE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*This test is used to distinguish between </w:t>
      </w:r>
      <w:proofErr w:type="spellStart"/>
      <w:r>
        <w:rPr>
          <w:rFonts w:asciiTheme="majorBidi" w:hAnsiTheme="majorBidi" w:cstheme="majorBidi"/>
          <w:sz w:val="28"/>
          <w:szCs w:val="28"/>
        </w:rPr>
        <w:t>aldoses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ketoses.</w:t>
      </w:r>
    </w:p>
    <w:p w:rsidR="005D01BE" w:rsidRDefault="005D01BE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*Ketohexoses form considerably more furfural derivatives (about 20 to 25 times) and at a faster rate than </w:t>
      </w:r>
      <w:proofErr w:type="spellStart"/>
      <w:r>
        <w:rPr>
          <w:rFonts w:asciiTheme="majorBidi" w:hAnsiTheme="majorBidi" w:cstheme="majorBidi"/>
          <w:sz w:val="28"/>
          <w:szCs w:val="28"/>
        </w:rPr>
        <w:t>aldohexoses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D01BE" w:rsidRDefault="005D01BE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*Resorcinol, condenses with the higher concentration of the furfural derivatives formed from the ketohexoses but not with the lower concentration formed from the </w:t>
      </w:r>
      <w:proofErr w:type="spellStart"/>
      <w:r>
        <w:rPr>
          <w:rFonts w:asciiTheme="majorBidi" w:hAnsiTheme="majorBidi" w:cstheme="majorBidi"/>
          <w:sz w:val="28"/>
          <w:szCs w:val="28"/>
        </w:rPr>
        <w:t>aldohexoses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1537F">
        <w:rPr>
          <w:rFonts w:asciiTheme="majorBidi" w:hAnsiTheme="majorBidi" w:cstheme="majorBidi"/>
          <w:sz w:val="28"/>
          <w:szCs w:val="28"/>
        </w:rPr>
        <w:t xml:space="preserve"> Consequently, the resorcinol test can be used to identify ketohexoses.</w:t>
      </w:r>
    </w:p>
    <w:p w:rsidR="00F1537F" w:rsidRDefault="00F1537F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*At very high concentrations the </w:t>
      </w:r>
      <w:proofErr w:type="spellStart"/>
      <w:r>
        <w:rPr>
          <w:rFonts w:asciiTheme="majorBidi" w:hAnsiTheme="majorBidi" w:cstheme="majorBidi"/>
          <w:sz w:val="28"/>
          <w:szCs w:val="28"/>
        </w:rPr>
        <w:t>aldohexoses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will give positive test.</w:t>
      </w:r>
    </w:p>
    <w:p w:rsidR="00F1537F" w:rsidRDefault="00F1537F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*Also, upon continued boiling, </w:t>
      </w:r>
      <w:proofErr w:type="spellStart"/>
      <w:r>
        <w:rPr>
          <w:rFonts w:asciiTheme="majorBidi" w:hAnsiTheme="majorBidi" w:cstheme="majorBidi"/>
          <w:sz w:val="28"/>
          <w:szCs w:val="28"/>
        </w:rPr>
        <w:t>aldoses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will give a red color with resorcinol reagent because of their gradual conversion to ketoses by the HCL.</w:t>
      </w:r>
    </w:p>
    <w:p w:rsidR="00F1537F" w:rsidRDefault="00F1537F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*This test can be used to detect the presence of  fructose (example of </w:t>
      </w:r>
      <w:proofErr w:type="spellStart"/>
      <w:r>
        <w:rPr>
          <w:rFonts w:asciiTheme="majorBidi" w:hAnsiTheme="majorBidi" w:cstheme="majorBidi"/>
          <w:sz w:val="28"/>
          <w:szCs w:val="28"/>
        </w:rPr>
        <w:t>hexose</w:t>
      </w:r>
      <w:proofErr w:type="spellEnd"/>
      <w:r>
        <w:rPr>
          <w:rFonts w:asciiTheme="majorBidi" w:hAnsiTheme="majorBidi" w:cstheme="majorBidi"/>
          <w:sz w:val="28"/>
          <w:szCs w:val="28"/>
        </w:rPr>
        <w:t>) in either free or combined state</w:t>
      </w:r>
      <w:r w:rsidR="00216918">
        <w:rPr>
          <w:rFonts w:asciiTheme="majorBidi" w:hAnsiTheme="majorBidi" w:cstheme="majorBidi"/>
          <w:sz w:val="28"/>
          <w:szCs w:val="28"/>
        </w:rPr>
        <w:t xml:space="preserve">. Sucrose give a positive test. </w:t>
      </w:r>
      <w:proofErr w:type="spellStart"/>
      <w:r w:rsidR="00216918">
        <w:rPr>
          <w:rFonts w:asciiTheme="majorBidi" w:hAnsiTheme="majorBidi" w:cstheme="majorBidi"/>
          <w:sz w:val="28"/>
          <w:szCs w:val="28"/>
        </w:rPr>
        <w:t>Pentoses</w:t>
      </w:r>
      <w:proofErr w:type="spellEnd"/>
      <w:r w:rsidR="00216918">
        <w:rPr>
          <w:rFonts w:asciiTheme="majorBidi" w:hAnsiTheme="majorBidi" w:cstheme="majorBidi"/>
          <w:sz w:val="28"/>
          <w:szCs w:val="28"/>
        </w:rPr>
        <w:t xml:space="preserve"> react in this test to give a blue to green product.</w:t>
      </w:r>
    </w:p>
    <w:p w:rsidR="00216918" w:rsidRDefault="00216918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*Due to the interference of glucose, it must not be present in amounts greater than 2%. Concentration of HCL must not be more than 12%.</w:t>
      </w:r>
    </w:p>
    <w:p w:rsidR="00216918" w:rsidRDefault="00216918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*The reaction (red color) and the precipitate must be observed after not more than 26-30 seconds boiling.</w:t>
      </w:r>
    </w:p>
    <w:p w:rsidR="00216918" w:rsidRDefault="00FD5ECD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5pt;margin-top:8.15pt;width:74.25pt;height:0;z-index:251658240" o:connectortype="straight">
            <v:stroke endarrow="block"/>
            <w10:wrap anchorx="page"/>
          </v:shape>
        </w:pict>
      </w:r>
      <w:proofErr w:type="spellStart"/>
      <w:r w:rsidR="00216918">
        <w:rPr>
          <w:rFonts w:asciiTheme="majorBidi" w:hAnsiTheme="majorBidi" w:cstheme="majorBidi"/>
          <w:sz w:val="28"/>
          <w:szCs w:val="28"/>
        </w:rPr>
        <w:t>Ketose</w:t>
      </w:r>
      <w:proofErr w:type="spellEnd"/>
      <w:r w:rsidR="00216918">
        <w:rPr>
          <w:rFonts w:asciiTheme="majorBidi" w:hAnsiTheme="majorBidi" w:cstheme="majorBidi"/>
          <w:sz w:val="28"/>
          <w:szCs w:val="28"/>
        </w:rPr>
        <w:t xml:space="preserve"> + resorcinol                        red complex</w:t>
      </w:r>
    </w:p>
    <w:p w:rsidR="00216918" w:rsidRDefault="00FD5ECD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32" style="position:absolute;margin-left:120.75pt;margin-top:8.15pt;width:65.25pt;height:0;z-index:251659264" o:connectortype="straight">
            <v:stroke endarrow="block"/>
            <w10:wrap anchorx="page"/>
          </v:shape>
        </w:pict>
      </w:r>
      <w:proofErr w:type="spellStart"/>
      <w:r w:rsidR="00216918">
        <w:rPr>
          <w:rFonts w:asciiTheme="majorBidi" w:hAnsiTheme="majorBidi" w:cstheme="majorBidi"/>
          <w:sz w:val="28"/>
          <w:szCs w:val="28"/>
        </w:rPr>
        <w:t>Aldose</w:t>
      </w:r>
      <w:proofErr w:type="spellEnd"/>
      <w:r w:rsidR="00216918">
        <w:rPr>
          <w:rFonts w:asciiTheme="majorBidi" w:hAnsiTheme="majorBidi" w:cstheme="majorBidi"/>
          <w:sz w:val="28"/>
          <w:szCs w:val="28"/>
        </w:rPr>
        <w:t xml:space="preserve"> + resorcinol                       light yellow to faintly pink color</w:t>
      </w:r>
    </w:p>
    <w:p w:rsidR="00216918" w:rsidRDefault="00FD5ECD" w:rsidP="005D01B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32" style="position:absolute;margin-left:120.75pt;margin-top:9.6pt;width:60pt;height:0;z-index:251660288" o:connectortype="straight">
            <v:stroke endarrow="block"/>
            <w10:wrap anchorx="page"/>
          </v:shape>
        </w:pict>
      </w:r>
      <w:r w:rsidR="00216918">
        <w:rPr>
          <w:rFonts w:asciiTheme="majorBidi" w:hAnsiTheme="majorBidi" w:cstheme="majorBidi"/>
          <w:sz w:val="28"/>
          <w:szCs w:val="28"/>
        </w:rPr>
        <w:t>Pentose + resorcinol                      blue to green color</w:t>
      </w:r>
    </w:p>
    <w:p w:rsidR="00216918" w:rsidRDefault="00216918" w:rsidP="005D01B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16918" w:rsidRDefault="00216918" w:rsidP="005D01B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16918" w:rsidRDefault="00216918" w:rsidP="005D01B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46CD3" w:rsidRDefault="00D46CD3" w:rsidP="005D01B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16918" w:rsidRDefault="00216918" w:rsidP="005D01B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16918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tbl>
      <w:tblPr>
        <w:tblStyle w:val="a3"/>
        <w:bidiVisual/>
        <w:tblW w:w="0" w:type="auto"/>
        <w:tblLook w:val="04A0"/>
      </w:tblPr>
      <w:tblGrid>
        <w:gridCol w:w="1364"/>
        <w:gridCol w:w="1492"/>
        <w:gridCol w:w="1476"/>
        <w:gridCol w:w="1507"/>
        <w:gridCol w:w="1554"/>
        <w:gridCol w:w="1129"/>
      </w:tblGrid>
      <w:tr w:rsidR="00216918" w:rsidTr="00D46CD3">
        <w:tc>
          <w:tcPr>
            <w:tcW w:w="1364" w:type="dxa"/>
          </w:tcPr>
          <w:p w:rsidR="00216918" w:rsidRDefault="00216918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1%xylose</w:t>
            </w:r>
          </w:p>
        </w:tc>
        <w:tc>
          <w:tcPr>
            <w:tcW w:w="1492" w:type="dxa"/>
          </w:tcPr>
          <w:p w:rsidR="00216918" w:rsidRDefault="00216918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1%Sorbose</w:t>
            </w:r>
          </w:p>
        </w:tc>
        <w:tc>
          <w:tcPr>
            <w:tcW w:w="1476" w:type="dxa"/>
          </w:tcPr>
          <w:p w:rsidR="00216918" w:rsidRDefault="00216918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1%Sucrose</w:t>
            </w:r>
          </w:p>
        </w:tc>
        <w:tc>
          <w:tcPr>
            <w:tcW w:w="1507" w:type="dxa"/>
          </w:tcPr>
          <w:p w:rsidR="00216918" w:rsidRDefault="00216918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1%Glucose</w:t>
            </w:r>
          </w:p>
        </w:tc>
        <w:tc>
          <w:tcPr>
            <w:tcW w:w="1554" w:type="dxa"/>
          </w:tcPr>
          <w:p w:rsidR="00216918" w:rsidRDefault="00216918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1%Fructose</w:t>
            </w:r>
          </w:p>
        </w:tc>
        <w:tc>
          <w:tcPr>
            <w:tcW w:w="1129" w:type="dxa"/>
          </w:tcPr>
          <w:p w:rsidR="00216918" w:rsidRDefault="00216918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Water</w:t>
            </w:r>
          </w:p>
        </w:tc>
      </w:tr>
      <w:tr w:rsidR="00216918" w:rsidTr="00D46CD3">
        <w:tc>
          <w:tcPr>
            <w:tcW w:w="1364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drops</w:t>
            </w:r>
          </w:p>
        </w:tc>
        <w:tc>
          <w:tcPr>
            <w:tcW w:w="1492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drops</w:t>
            </w:r>
          </w:p>
        </w:tc>
        <w:tc>
          <w:tcPr>
            <w:tcW w:w="1476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drops</w:t>
            </w:r>
          </w:p>
        </w:tc>
        <w:tc>
          <w:tcPr>
            <w:tcW w:w="1507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drops</w:t>
            </w:r>
          </w:p>
        </w:tc>
        <w:tc>
          <w:tcPr>
            <w:tcW w:w="1554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drops</w:t>
            </w:r>
          </w:p>
        </w:tc>
        <w:tc>
          <w:tcPr>
            <w:tcW w:w="1129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drops</w:t>
            </w:r>
          </w:p>
        </w:tc>
      </w:tr>
      <w:tr w:rsidR="00D46CD3" w:rsidTr="00C96B44">
        <w:tc>
          <w:tcPr>
            <w:tcW w:w="8522" w:type="dxa"/>
            <w:gridSpan w:val="6"/>
          </w:tcPr>
          <w:p w:rsidR="00D46CD3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Resorcinol Reagent</w:t>
            </w:r>
          </w:p>
        </w:tc>
      </w:tr>
      <w:tr w:rsidR="00216918" w:rsidTr="00D46CD3">
        <w:tc>
          <w:tcPr>
            <w:tcW w:w="1364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1492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1476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1507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1554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1129" w:type="dxa"/>
          </w:tcPr>
          <w:p w:rsidR="00216918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</w:tr>
      <w:tr w:rsidR="00D46CD3" w:rsidTr="00604DB1">
        <w:tc>
          <w:tcPr>
            <w:tcW w:w="8522" w:type="dxa"/>
            <w:gridSpan w:val="6"/>
          </w:tcPr>
          <w:p w:rsidR="00D46CD3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Incubate in boiling water bath for 1 min.</w:t>
            </w:r>
          </w:p>
          <w:p w:rsidR="00D46CD3" w:rsidRDefault="00D46CD3" w:rsidP="002169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See the color and continue incubation to 4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mins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 See change in color.</w:t>
            </w:r>
          </w:p>
        </w:tc>
      </w:tr>
    </w:tbl>
    <w:p w:rsidR="00216918" w:rsidRPr="00216918" w:rsidRDefault="00216918" w:rsidP="005D01B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75EA4" w:rsidRDefault="00AD66E7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</w:pPr>
    </w:p>
    <w:p w:rsidR="00D46CD3" w:rsidRDefault="00D46CD3" w:rsidP="005D01B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6CD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2/</w:t>
      </w:r>
      <w:proofErr w:type="spellStart"/>
      <w:r w:rsidRPr="00D46CD3">
        <w:rPr>
          <w:rFonts w:ascii="Times New Roman" w:hAnsi="Times New Roman" w:cs="Times New Roman"/>
          <w:b/>
          <w:bCs/>
          <w:sz w:val="28"/>
          <w:szCs w:val="28"/>
          <w:u w:val="single"/>
        </w:rPr>
        <w:t>Bial's</w:t>
      </w:r>
      <w:proofErr w:type="spellEnd"/>
      <w:r w:rsidRPr="00D46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46CD3">
        <w:rPr>
          <w:rFonts w:ascii="Times New Roman" w:hAnsi="Times New Roman" w:cs="Times New Roman"/>
          <w:b/>
          <w:bCs/>
          <w:sz w:val="28"/>
          <w:szCs w:val="28"/>
          <w:u w:val="single"/>
        </w:rPr>
        <w:t>Orcinol</w:t>
      </w:r>
      <w:proofErr w:type="spellEnd"/>
      <w:r w:rsidRPr="00D46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Test:</w:t>
      </w:r>
    </w:p>
    <w:p w:rsidR="00D46CD3" w:rsidRDefault="00D46CD3" w:rsidP="005D0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*It is a simple, rapid qualitative test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pentoses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CD3" w:rsidRDefault="00D46CD3" w:rsidP="00D46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Bial's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gives a green color with the furfural from dehydrated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pentoses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CD3" w:rsidRDefault="00D46CD3" w:rsidP="00D46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Bial's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reagent consist of: </w:t>
      </w:r>
      <w:proofErr w:type="spellStart"/>
      <w:r>
        <w:rPr>
          <w:rFonts w:ascii="Times New Roman" w:hAnsi="Times New Roman" w:cs="Times New Roman"/>
          <w:sz w:val="28"/>
          <w:szCs w:val="28"/>
        </w:rPr>
        <w:t>orcinol</w:t>
      </w:r>
      <w:proofErr w:type="spellEnd"/>
      <w:r>
        <w:rPr>
          <w:rFonts w:ascii="Times New Roman" w:hAnsi="Times New Roman" w:cs="Times New Roman"/>
          <w:sz w:val="28"/>
          <w:szCs w:val="28"/>
        </w:rPr>
        <w:t>, HCL and ferric chloride. (Ferric chloride increase the sensitivity of the test).</w:t>
      </w:r>
    </w:p>
    <w:p w:rsidR="0017722D" w:rsidRDefault="00D46CD3" w:rsidP="00D46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*Compounds containing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pentoses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22D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17722D">
        <w:rPr>
          <w:rFonts w:ascii="Times New Roman" w:hAnsi="Times New Roman" w:cs="Times New Roman"/>
          <w:sz w:val="28"/>
          <w:szCs w:val="28"/>
        </w:rPr>
        <w:t>uronic</w:t>
      </w:r>
      <w:proofErr w:type="spellEnd"/>
      <w:r w:rsidR="0017722D">
        <w:rPr>
          <w:rFonts w:ascii="Times New Roman" w:hAnsi="Times New Roman" w:cs="Times New Roman"/>
          <w:sz w:val="28"/>
          <w:szCs w:val="28"/>
        </w:rPr>
        <w:t xml:space="preserve"> acid, give a blue-green product when heated with a strong non-oxidizing acid in the presence of </w:t>
      </w:r>
      <w:proofErr w:type="spellStart"/>
      <w:r w:rsidR="0017722D">
        <w:rPr>
          <w:rFonts w:ascii="Times New Roman" w:hAnsi="Times New Roman" w:cs="Times New Roman"/>
          <w:sz w:val="28"/>
          <w:szCs w:val="28"/>
        </w:rPr>
        <w:t>orcinol</w:t>
      </w:r>
      <w:proofErr w:type="spellEnd"/>
      <w:r w:rsidR="0017722D">
        <w:rPr>
          <w:rFonts w:ascii="Times New Roman" w:hAnsi="Times New Roman" w:cs="Times New Roman"/>
          <w:sz w:val="28"/>
          <w:szCs w:val="28"/>
        </w:rPr>
        <w:t xml:space="preserve"> and FeCL3.</w:t>
      </w:r>
    </w:p>
    <w:p w:rsidR="0017722D" w:rsidRDefault="0017722D" w:rsidP="00177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*It can be used for quantitative assay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pentoses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e.g:Ribonuclic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acid) in the absence of interfering substances.</w:t>
      </w:r>
    </w:p>
    <w:p w:rsidR="0017722D" w:rsidRDefault="00FD5ECD" w:rsidP="00177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35.75pt;margin-top:9.1pt;width:46.5pt;height:0;z-index:251661312" o:connectortype="straight">
            <v:stroke endarrow="block"/>
            <w10:wrap anchorx="page"/>
          </v:shape>
        </w:pict>
      </w:r>
      <w:r w:rsidR="0017722D">
        <w:rPr>
          <w:rFonts w:ascii="Times New Roman" w:hAnsi="Times New Roman" w:cs="Times New Roman"/>
          <w:sz w:val="28"/>
          <w:szCs w:val="28"/>
        </w:rPr>
        <w:t>Pentose  + heat &amp; HCL                 furfural</w:t>
      </w:r>
    </w:p>
    <w:p w:rsidR="0017722D" w:rsidRDefault="00FD5ECD" w:rsidP="00177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17pt;margin-top:9.1pt;width:56.25pt;height:0;z-index:251662336" o:connectortype="straight">
            <v:stroke endarrow="block"/>
            <w10:wrap anchorx="page"/>
          </v:shape>
        </w:pict>
      </w:r>
      <w:r w:rsidR="0017722D">
        <w:rPr>
          <w:rFonts w:ascii="Times New Roman" w:hAnsi="Times New Roman" w:cs="Times New Roman"/>
          <w:sz w:val="28"/>
          <w:szCs w:val="28"/>
        </w:rPr>
        <w:t xml:space="preserve">Furfural + </w:t>
      </w:r>
      <w:proofErr w:type="spellStart"/>
      <w:r w:rsidR="0017722D">
        <w:rPr>
          <w:rFonts w:ascii="Times New Roman" w:hAnsi="Times New Roman" w:cs="Times New Roman"/>
          <w:sz w:val="28"/>
          <w:szCs w:val="28"/>
        </w:rPr>
        <w:t>orcinol</w:t>
      </w:r>
      <w:proofErr w:type="spellEnd"/>
      <w:r w:rsidR="0017722D">
        <w:rPr>
          <w:rFonts w:ascii="Times New Roman" w:hAnsi="Times New Roman" w:cs="Times New Roman"/>
          <w:sz w:val="28"/>
          <w:szCs w:val="28"/>
        </w:rPr>
        <w:t xml:space="preserve">                          blue-green color</w:t>
      </w:r>
    </w:p>
    <w:p w:rsidR="0017722D" w:rsidRDefault="0017722D" w:rsidP="001772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22D" w:rsidRDefault="0017722D" w:rsidP="0017722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722D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Procedure:</w:t>
      </w:r>
    </w:p>
    <w:tbl>
      <w:tblPr>
        <w:tblStyle w:val="a3"/>
        <w:bidiVisual/>
        <w:tblW w:w="0" w:type="auto"/>
        <w:tblLook w:val="04A0"/>
      </w:tblPr>
      <w:tblGrid>
        <w:gridCol w:w="1403"/>
        <w:gridCol w:w="1414"/>
        <w:gridCol w:w="1492"/>
        <w:gridCol w:w="1445"/>
        <w:gridCol w:w="1410"/>
        <w:gridCol w:w="1358"/>
      </w:tblGrid>
      <w:tr w:rsidR="0017722D" w:rsidTr="0017722D">
        <w:tc>
          <w:tcPr>
            <w:tcW w:w="1403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1%starch</w:t>
            </w:r>
          </w:p>
        </w:tc>
        <w:tc>
          <w:tcPr>
            <w:tcW w:w="1414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1%lactose</w:t>
            </w:r>
          </w:p>
        </w:tc>
        <w:tc>
          <w:tcPr>
            <w:tcW w:w="1492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1%fructose</w:t>
            </w:r>
          </w:p>
        </w:tc>
        <w:tc>
          <w:tcPr>
            <w:tcW w:w="1445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1%glucose</w:t>
            </w:r>
          </w:p>
        </w:tc>
        <w:tc>
          <w:tcPr>
            <w:tcW w:w="1410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1%xylose</w:t>
            </w:r>
          </w:p>
        </w:tc>
        <w:tc>
          <w:tcPr>
            <w:tcW w:w="1358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17722D" w:rsidTr="0017722D">
        <w:tc>
          <w:tcPr>
            <w:tcW w:w="1403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drop</w:t>
            </w:r>
          </w:p>
        </w:tc>
        <w:tc>
          <w:tcPr>
            <w:tcW w:w="1414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drop</w:t>
            </w:r>
          </w:p>
        </w:tc>
        <w:tc>
          <w:tcPr>
            <w:tcW w:w="1492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drop</w:t>
            </w:r>
          </w:p>
        </w:tc>
        <w:tc>
          <w:tcPr>
            <w:tcW w:w="1445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drop</w:t>
            </w:r>
          </w:p>
        </w:tc>
        <w:tc>
          <w:tcPr>
            <w:tcW w:w="1410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drop</w:t>
            </w:r>
          </w:p>
        </w:tc>
        <w:tc>
          <w:tcPr>
            <w:tcW w:w="1358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drop</w:t>
            </w:r>
          </w:p>
        </w:tc>
      </w:tr>
      <w:tr w:rsidR="0017722D" w:rsidTr="000C33E1">
        <w:tc>
          <w:tcPr>
            <w:tcW w:w="8522" w:type="dxa"/>
            <w:gridSpan w:val="6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Bial's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Reagent</w:t>
            </w:r>
          </w:p>
        </w:tc>
      </w:tr>
      <w:tr w:rsidR="0017722D" w:rsidTr="0017722D">
        <w:tc>
          <w:tcPr>
            <w:tcW w:w="1403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ml</w:t>
            </w:r>
          </w:p>
        </w:tc>
        <w:tc>
          <w:tcPr>
            <w:tcW w:w="1414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ml</w:t>
            </w:r>
          </w:p>
        </w:tc>
        <w:tc>
          <w:tcPr>
            <w:tcW w:w="1492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ml</w:t>
            </w:r>
          </w:p>
        </w:tc>
        <w:tc>
          <w:tcPr>
            <w:tcW w:w="1445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ml</w:t>
            </w:r>
          </w:p>
        </w:tc>
        <w:tc>
          <w:tcPr>
            <w:tcW w:w="1410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ml</w:t>
            </w:r>
          </w:p>
        </w:tc>
        <w:tc>
          <w:tcPr>
            <w:tcW w:w="1358" w:type="dxa"/>
          </w:tcPr>
          <w:p w:rsidR="0017722D" w:rsidRPr="0017722D" w:rsidRDefault="0017722D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ml</w:t>
            </w:r>
          </w:p>
        </w:tc>
      </w:tr>
      <w:tr w:rsidR="00F70D7E" w:rsidTr="009536FA">
        <w:tc>
          <w:tcPr>
            <w:tcW w:w="8522" w:type="dxa"/>
            <w:gridSpan w:val="6"/>
          </w:tcPr>
          <w:p w:rsidR="00F70D7E" w:rsidRDefault="00F70D7E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Incubate in boiling water bath for 3-5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D7E" w:rsidRPr="0017722D" w:rsidRDefault="00F70D7E" w:rsidP="0017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Observe the change in color formed</w:t>
            </w:r>
          </w:p>
        </w:tc>
      </w:tr>
    </w:tbl>
    <w:p w:rsidR="0017722D" w:rsidRPr="0017722D" w:rsidRDefault="0017722D" w:rsidP="0017722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D46CD3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Blue-Green color product = positive</w:t>
      </w:r>
    </w:p>
    <w:p w:rsidR="00F70D7E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7E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7E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7E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7E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7E" w:rsidRDefault="00F70D7E" w:rsidP="00F7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7E" w:rsidRDefault="00191EF6" w:rsidP="00F70D7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EF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Iodine Test for Polysaccharide:</w:t>
      </w:r>
    </w:p>
    <w:p w:rsidR="00191EF6" w:rsidRDefault="00191EF6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*Iodine forms colored adsorption complexes with polysaccharides</w:t>
      </w:r>
      <w:r w:rsidR="00640D0E">
        <w:rPr>
          <w:rFonts w:ascii="Times New Roman" w:hAnsi="Times New Roman" w:cs="Times New Roman"/>
          <w:sz w:val="28"/>
          <w:szCs w:val="28"/>
        </w:rPr>
        <w:t>.</w:t>
      </w:r>
    </w:p>
    <w:p w:rsidR="00640D0E" w:rsidRDefault="00640D0E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*Starch gives a blue color with iodine, while glycogen gives red-brown colors.</w:t>
      </w:r>
    </w:p>
    <w:p w:rsidR="00640D0E" w:rsidRDefault="00640D0E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*This iodine color is due to coordination complex between the helically coiled polysaccharide chains and the iodine centrally located within the helix.</w:t>
      </w:r>
    </w:p>
    <w:p w:rsidR="00640D0E" w:rsidRDefault="00640D0E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*The iodine can be removed by extraction with ethanol or by reduction with sodium </w:t>
      </w:r>
      <w:proofErr w:type="spellStart"/>
      <w:r>
        <w:rPr>
          <w:rFonts w:ascii="Times New Roman" w:hAnsi="Times New Roman" w:cs="Times New Roman"/>
          <w:sz w:val="28"/>
          <w:szCs w:val="28"/>
        </w:rPr>
        <w:t>thiosulphate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. So, the iodine is very loosely bound in the complex and that is still in the oxidized state.</w:t>
      </w:r>
    </w:p>
    <w:p w:rsidR="00640D0E" w:rsidRDefault="00FD5ECD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92.25pt;margin-top:9.35pt;width:51.75pt;height:0;z-index:251663360" o:connectortype="straight">
            <v:stroke endarrow="block"/>
            <w10:wrap anchorx="page"/>
          </v:shape>
        </w:pict>
      </w:r>
      <w:r w:rsidR="00640D0E">
        <w:rPr>
          <w:rFonts w:ascii="Times New Roman" w:hAnsi="Times New Roman" w:cs="Times New Roman"/>
          <w:sz w:val="28"/>
          <w:szCs w:val="28"/>
        </w:rPr>
        <w:t>Starch + Iodine                  blue to black color</w:t>
      </w:r>
    </w:p>
    <w:p w:rsidR="00640D0E" w:rsidRDefault="00FD5ECD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98.25pt;margin-top:8.65pt;width:45.75pt;height:.05pt;z-index:251664384" o:connectortype="straight">
            <v:stroke endarrow="block"/>
            <w10:wrap anchorx="page"/>
          </v:shape>
        </w:pict>
      </w:r>
      <w:r w:rsidR="00640D0E">
        <w:rPr>
          <w:rFonts w:ascii="Times New Roman" w:hAnsi="Times New Roman" w:cs="Times New Roman"/>
          <w:sz w:val="28"/>
          <w:szCs w:val="28"/>
        </w:rPr>
        <w:t>Dextrin + Iodine                red to violet color</w:t>
      </w:r>
    </w:p>
    <w:p w:rsidR="00640D0E" w:rsidRDefault="00FD5ECD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11.75pt;margin-top:10.15pt;width:32.25pt;height:.05pt;z-index:251665408" o:connectortype="straight">
            <v:stroke endarrow="block"/>
            <w10:wrap anchorx="page"/>
          </v:shape>
        </w:pict>
      </w:r>
      <w:r w:rsidR="00640D0E">
        <w:rPr>
          <w:rFonts w:ascii="Times New Roman" w:hAnsi="Times New Roman" w:cs="Times New Roman"/>
          <w:sz w:val="28"/>
          <w:szCs w:val="28"/>
        </w:rPr>
        <w:t>Glycogen + Iodine             red to brown color</w:t>
      </w:r>
    </w:p>
    <w:p w:rsidR="00640D0E" w:rsidRDefault="00640D0E" w:rsidP="00F70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*Agar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xylan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suspended particles will absorb the iodine to give blue to purple colors.</w:t>
      </w:r>
    </w:p>
    <w:p w:rsidR="00640D0E" w:rsidRDefault="00640D0E" w:rsidP="00F70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D0E" w:rsidRPr="00062F07" w:rsidRDefault="00640D0E" w:rsidP="00F70D7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0D0E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Procedure: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0F0DC2" w:rsidRPr="00062F07" w:rsidTr="000F0DC2">
        <w:tc>
          <w:tcPr>
            <w:tcW w:w="1704" w:type="dxa"/>
          </w:tcPr>
          <w:p w:rsidR="000F0DC2" w:rsidRPr="00062F07" w:rsidRDefault="000F0DC2" w:rsidP="000F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1%cellulose</w:t>
            </w:r>
          </w:p>
        </w:tc>
        <w:tc>
          <w:tcPr>
            <w:tcW w:w="1704" w:type="dxa"/>
          </w:tcPr>
          <w:p w:rsidR="000F0DC2" w:rsidRPr="00062F07" w:rsidRDefault="000F0DC2" w:rsidP="000F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1%dextrin</w:t>
            </w:r>
          </w:p>
        </w:tc>
        <w:tc>
          <w:tcPr>
            <w:tcW w:w="1704" w:type="dxa"/>
          </w:tcPr>
          <w:p w:rsidR="000F0DC2" w:rsidRPr="00062F07" w:rsidRDefault="000F0DC2" w:rsidP="000F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1%glycogen</w:t>
            </w:r>
          </w:p>
        </w:tc>
        <w:tc>
          <w:tcPr>
            <w:tcW w:w="1705" w:type="dxa"/>
          </w:tcPr>
          <w:p w:rsidR="000F0DC2" w:rsidRPr="00062F07" w:rsidRDefault="000F0DC2" w:rsidP="000F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1%starch</w:t>
            </w:r>
          </w:p>
        </w:tc>
        <w:tc>
          <w:tcPr>
            <w:tcW w:w="1705" w:type="dxa"/>
          </w:tcPr>
          <w:p w:rsidR="000F0DC2" w:rsidRPr="00062F07" w:rsidRDefault="000F0DC2" w:rsidP="000F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water</w:t>
            </w:r>
          </w:p>
        </w:tc>
      </w:tr>
      <w:tr w:rsidR="000F0DC2" w:rsidTr="000F0DC2">
        <w:tc>
          <w:tcPr>
            <w:tcW w:w="1704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ml</w:t>
            </w:r>
          </w:p>
        </w:tc>
        <w:tc>
          <w:tcPr>
            <w:tcW w:w="1704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ml</w:t>
            </w:r>
          </w:p>
        </w:tc>
        <w:tc>
          <w:tcPr>
            <w:tcW w:w="1704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ml</w:t>
            </w:r>
          </w:p>
        </w:tc>
        <w:tc>
          <w:tcPr>
            <w:tcW w:w="1705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ml</w:t>
            </w:r>
          </w:p>
        </w:tc>
        <w:tc>
          <w:tcPr>
            <w:tcW w:w="1705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ml</w:t>
            </w:r>
          </w:p>
        </w:tc>
      </w:tr>
      <w:tr w:rsidR="000F0DC2" w:rsidTr="004D1FCC">
        <w:tc>
          <w:tcPr>
            <w:tcW w:w="8522" w:type="dxa"/>
            <w:gridSpan w:val="5"/>
          </w:tcPr>
          <w:p w:rsidR="000F0DC2" w:rsidRPr="00062F07" w:rsidRDefault="000F0DC2" w:rsidP="000F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Iodine solution</w:t>
            </w:r>
          </w:p>
        </w:tc>
      </w:tr>
      <w:tr w:rsidR="000F0DC2" w:rsidTr="000F0DC2">
        <w:tc>
          <w:tcPr>
            <w:tcW w:w="1704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drops</w:t>
            </w:r>
          </w:p>
        </w:tc>
        <w:tc>
          <w:tcPr>
            <w:tcW w:w="1704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drops</w:t>
            </w:r>
          </w:p>
        </w:tc>
        <w:tc>
          <w:tcPr>
            <w:tcW w:w="1704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drops</w:t>
            </w:r>
          </w:p>
        </w:tc>
        <w:tc>
          <w:tcPr>
            <w:tcW w:w="1705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drops</w:t>
            </w:r>
          </w:p>
        </w:tc>
        <w:tc>
          <w:tcPr>
            <w:tcW w:w="1705" w:type="dxa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drops</w:t>
            </w:r>
          </w:p>
        </w:tc>
      </w:tr>
      <w:tr w:rsidR="000F0DC2" w:rsidTr="003A68B2">
        <w:tc>
          <w:tcPr>
            <w:tcW w:w="8522" w:type="dxa"/>
            <w:gridSpan w:val="5"/>
          </w:tcPr>
          <w:p w:rsidR="000F0DC2" w:rsidRDefault="000F0DC2" w:rsidP="000F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 the color developed</w:t>
            </w:r>
          </w:p>
        </w:tc>
      </w:tr>
    </w:tbl>
    <w:p w:rsidR="00640D0E" w:rsidRPr="00640D0E" w:rsidRDefault="00640D0E" w:rsidP="00F70D7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40D0E" w:rsidRPr="00640D0E" w:rsidSect="00F5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E7" w:rsidRDefault="00AD66E7" w:rsidP="00620CF6">
      <w:pPr>
        <w:spacing w:after="0" w:line="240" w:lineRule="auto"/>
      </w:pPr>
      <w:r>
        <w:separator/>
      </w:r>
    </w:p>
  </w:endnote>
  <w:endnote w:type="continuationSeparator" w:id="0">
    <w:p w:rsidR="00AD66E7" w:rsidRDefault="00AD66E7" w:rsidP="0062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A6" w:rsidRDefault="00B555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F6" w:rsidRDefault="00620CF6">
    <w:pPr>
      <w:pStyle w:val="a5"/>
      <w:rPr>
        <w:rFonts w:hint="cs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A6" w:rsidRDefault="00B555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E7" w:rsidRDefault="00AD66E7" w:rsidP="00620CF6">
      <w:pPr>
        <w:spacing w:after="0" w:line="240" w:lineRule="auto"/>
      </w:pPr>
      <w:r>
        <w:separator/>
      </w:r>
    </w:p>
  </w:footnote>
  <w:footnote w:type="continuationSeparator" w:id="0">
    <w:p w:rsidR="00AD66E7" w:rsidRDefault="00AD66E7" w:rsidP="0062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A6" w:rsidRDefault="00B555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F6" w:rsidRPr="00620CF6" w:rsidRDefault="00620CF6" w:rsidP="00620CF6">
    <w:pPr>
      <w:pStyle w:val="a4"/>
      <w:jc w:val="right"/>
      <w:rPr>
        <w:rFonts w:ascii="Berlin Sans FB Demi" w:hAnsi="Berlin Sans FB Demi"/>
        <w:sz w:val="28"/>
        <w:szCs w:val="28"/>
      </w:rPr>
    </w:pPr>
    <w:r w:rsidRPr="00620CF6">
      <w:rPr>
        <w:rFonts w:ascii="Berlin Sans FB Demi" w:hAnsi="Berlin Sans FB Demi"/>
        <w:sz w:val="28"/>
        <w:szCs w:val="28"/>
      </w:rPr>
      <w:t>CLS 232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A6" w:rsidRDefault="00B555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BE"/>
    <w:rsid w:val="00062F07"/>
    <w:rsid w:val="00093446"/>
    <w:rsid w:val="000F0DC2"/>
    <w:rsid w:val="0017722D"/>
    <w:rsid w:val="00191EF6"/>
    <w:rsid w:val="001B42EA"/>
    <w:rsid w:val="00216918"/>
    <w:rsid w:val="005D01BE"/>
    <w:rsid w:val="00620CF6"/>
    <w:rsid w:val="00640D0E"/>
    <w:rsid w:val="00985D32"/>
    <w:rsid w:val="00AD66E7"/>
    <w:rsid w:val="00B555A6"/>
    <w:rsid w:val="00CD4BF6"/>
    <w:rsid w:val="00D46CD3"/>
    <w:rsid w:val="00D75613"/>
    <w:rsid w:val="00D94876"/>
    <w:rsid w:val="00EA6444"/>
    <w:rsid w:val="00F1537F"/>
    <w:rsid w:val="00F560E4"/>
    <w:rsid w:val="00F70D7E"/>
    <w:rsid w:val="00F90B27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3"/>
        <o:r id="V:Rule12" type="connector" idref="#_x0000_s1032"/>
        <o:r id="V:Rule13" type="connector" idref="#_x0000_s1030"/>
        <o:r id="V:Rule14" type="connector" idref="#_x0000_s1026"/>
        <o:r id="V:Rule15" type="connector" idref="#_x0000_s1027"/>
        <o:r id="V:Rule1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0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20CF6"/>
  </w:style>
  <w:style w:type="paragraph" w:styleId="a5">
    <w:name w:val="footer"/>
    <w:basedOn w:val="a"/>
    <w:link w:val="Char0"/>
    <w:uiPriority w:val="99"/>
    <w:unhideWhenUsed/>
    <w:rsid w:val="00620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20CF6"/>
  </w:style>
  <w:style w:type="paragraph" w:styleId="a6">
    <w:name w:val="Balloon Text"/>
    <w:basedOn w:val="a"/>
    <w:link w:val="Char1"/>
    <w:uiPriority w:val="99"/>
    <w:semiHidden/>
    <w:unhideWhenUsed/>
    <w:rsid w:val="0062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2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11</cp:revision>
  <dcterms:created xsi:type="dcterms:W3CDTF">2010-05-23T20:01:00Z</dcterms:created>
  <dcterms:modified xsi:type="dcterms:W3CDTF">2012-04-25T06:58:00Z</dcterms:modified>
</cp:coreProperties>
</file>