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80" w:rsidRPr="005F3FE1" w:rsidRDefault="00BF0741" w:rsidP="002B0380">
      <w:pPr>
        <w:pStyle w:val="NormalWeb"/>
        <w:rPr>
          <w:rFonts w:asciiTheme="majorBidi" w:hAnsiTheme="majorBidi" w:cstheme="majorBidi"/>
        </w:rPr>
      </w:pPr>
      <w:r w:rsidRPr="005F3FE1">
        <w:rPr>
          <w:rFonts w:asciiTheme="majorBidi" w:hAnsiTheme="majorBidi" w:cstheme="majorBid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1.05pt;margin-top:-62.8pt;width:274.15pt;height:38.3pt;z-index:251665408;mso-height-percent:200;mso-height-percent:200;mso-width-relative:margin;mso-height-relative:margin" filled="f" fillcolor="black [3200]" stroked="f" strokecolor="#f2f2f2 [3041]" strokeweight="3pt">
            <v:shadow on="t" type="perspective" color="#7f7f7f [1601]" opacity=".5" offset="1pt" offset2="-1pt"/>
            <v:textbox style="mso-fit-shape-to-text:t">
              <w:txbxContent>
                <w:p w:rsidR="00BF0741" w:rsidRPr="00BF0741" w:rsidRDefault="00BF0741" w:rsidP="00BF0741">
                  <w:pPr>
                    <w:spacing w:after="0" w:line="240" w:lineRule="auto"/>
                    <w:rPr>
                      <w:b/>
                      <w:bCs/>
                      <w:color w:val="3B4A1E"/>
                      <w:sz w:val="24"/>
                      <w:szCs w:val="24"/>
                    </w:rPr>
                  </w:pPr>
                  <w:proofErr w:type="spellStart"/>
                  <w:r w:rsidRPr="00BF0741">
                    <w:rPr>
                      <w:b/>
                      <w:bCs/>
                      <w:color w:val="3B4A1E"/>
                      <w:sz w:val="24"/>
                      <w:szCs w:val="24"/>
                    </w:rPr>
                    <w:t>Alanoud</w:t>
                  </w:r>
                  <w:proofErr w:type="spellEnd"/>
                  <w:r w:rsidRPr="00BF0741">
                    <w:rPr>
                      <w:b/>
                      <w:bCs/>
                      <w:color w:val="3B4A1E"/>
                      <w:sz w:val="24"/>
                      <w:szCs w:val="24"/>
                    </w:rPr>
                    <w:t xml:space="preserve"> M Al </w:t>
                  </w:r>
                  <w:proofErr w:type="spellStart"/>
                  <w:r w:rsidRPr="00BF0741">
                    <w:rPr>
                      <w:b/>
                      <w:bCs/>
                      <w:color w:val="3B4A1E"/>
                      <w:sz w:val="24"/>
                      <w:szCs w:val="24"/>
                    </w:rPr>
                    <w:t>Talal</w:t>
                  </w:r>
                  <w:proofErr w:type="spellEnd"/>
                  <w:r w:rsidRPr="00BF0741">
                    <w:rPr>
                      <w:b/>
                      <w:bCs/>
                      <w:color w:val="3B4A1E"/>
                      <w:sz w:val="24"/>
                      <w:szCs w:val="24"/>
                    </w:rPr>
                    <w:t xml:space="preserve">/Pharmaceutics Department </w:t>
                  </w:r>
                </w:p>
                <w:p w:rsidR="00BF0741" w:rsidRDefault="00BF0741" w:rsidP="00BF0741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5F3FE1">
        <w:rPr>
          <w:rFonts w:asciiTheme="majorBidi" w:hAnsiTheme="majorBidi" w:cstheme="majorBid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-914400</wp:posOffset>
            </wp:positionV>
            <wp:extent cx="1411605" cy="675640"/>
            <wp:effectExtent l="19050" t="0" r="0" b="0"/>
            <wp:wrapTight wrapText="bothSides">
              <wp:wrapPolygon edited="0">
                <wp:start x="-291" y="0"/>
                <wp:lineTo x="-291" y="20707"/>
                <wp:lineTo x="21571" y="20707"/>
                <wp:lineTo x="21571" y="0"/>
                <wp:lineTo x="-29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151" t="15900" r="19189" b="74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FE1">
        <w:rPr>
          <w:rFonts w:asciiTheme="majorBidi" w:hAnsiTheme="majorBidi" w:cstheme="majorBid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6334042" cy="675861"/>
            <wp:effectExtent l="19050" t="0" r="0" b="0"/>
            <wp:wrapTight wrapText="bothSides">
              <wp:wrapPolygon edited="0">
                <wp:start x="-65" y="0"/>
                <wp:lineTo x="-65" y="20700"/>
                <wp:lineTo x="21568" y="20700"/>
                <wp:lineTo x="21568" y="0"/>
                <wp:lineTo x="-65" y="0"/>
              </wp:wrapPolygon>
            </wp:wrapTight>
            <wp:docPr id="6" name="Picture 1" descr="http://colleges.ksu.edu.sa/CollegeofPharmacy/Images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eges.ksu.edu.sa/CollegeofPharmacy/Images/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042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380" w:rsidRPr="005F3FE1" w:rsidRDefault="002B0380" w:rsidP="006154A5">
      <w:pPr>
        <w:pStyle w:val="NormalWeb"/>
        <w:rPr>
          <w:rFonts w:asciiTheme="majorBidi" w:hAnsiTheme="majorBidi" w:cstheme="majorBidi"/>
          <w:b/>
          <w:bCs/>
        </w:rPr>
      </w:pPr>
      <w:r w:rsidRPr="005F3FE1">
        <w:rPr>
          <w:rFonts w:asciiTheme="majorBidi" w:hAnsiTheme="majorBidi" w:cstheme="majorBidi"/>
          <w:b/>
          <w:bCs/>
        </w:rPr>
        <w:t>Course Description</w:t>
      </w:r>
    </w:p>
    <w:p w:rsidR="006624DC" w:rsidRPr="005F3FE1" w:rsidRDefault="002B0380" w:rsidP="005F3FE1">
      <w:pPr>
        <w:pStyle w:val="NormalWeb"/>
        <w:rPr>
          <w:rFonts w:asciiTheme="majorBidi" w:hAnsiTheme="majorBidi" w:cstheme="majorBidi"/>
        </w:rPr>
      </w:pPr>
      <w:r w:rsidRPr="005F3FE1">
        <w:rPr>
          <w:rFonts w:asciiTheme="majorBidi" w:hAnsiTheme="majorBidi" w:cstheme="majorBidi"/>
        </w:rPr>
        <w:t xml:space="preserve">This course is designed to introduce the basics of the atomic structure. Moreover, the production of different </w:t>
      </w:r>
      <w:proofErr w:type="spellStart"/>
      <w:r w:rsidRPr="005F3FE1">
        <w:rPr>
          <w:rFonts w:asciiTheme="majorBidi" w:hAnsiTheme="majorBidi" w:cstheme="majorBidi"/>
        </w:rPr>
        <w:t>radionuclides</w:t>
      </w:r>
      <w:proofErr w:type="spellEnd"/>
      <w:r w:rsidRPr="005F3FE1">
        <w:rPr>
          <w:rFonts w:asciiTheme="majorBidi" w:hAnsiTheme="majorBidi" w:cstheme="majorBidi"/>
        </w:rPr>
        <w:t xml:space="preserve"> are discussed, the different types of radioactive decay. The instruments for radiation detection are explained. Calculation of activity and design of a nuclear pharmacy are explained.</w:t>
      </w:r>
    </w:p>
    <w:p w:rsidR="002B0380" w:rsidRPr="005F3FE1" w:rsidRDefault="00F83D45" w:rsidP="006154A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F3FE1">
        <w:rPr>
          <w:rFonts w:asciiTheme="majorBidi" w:hAnsiTheme="majorBidi" w:cstheme="majorBidi"/>
          <w:b/>
          <w:bCs/>
          <w:sz w:val="24"/>
          <w:szCs w:val="24"/>
        </w:rPr>
        <w:t>Topics to be covered:</w:t>
      </w:r>
    </w:p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2B0380" w:rsidRPr="005F3FE1" w:rsidTr="002B0380">
        <w:tc>
          <w:tcPr>
            <w:tcW w:w="1098" w:type="dxa"/>
          </w:tcPr>
          <w:p w:rsidR="002B0380" w:rsidRPr="005F3FE1" w:rsidRDefault="002B0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3FE1">
              <w:rPr>
                <w:rFonts w:asciiTheme="majorBidi" w:hAnsiTheme="majorBidi" w:cstheme="majorBidi"/>
                <w:sz w:val="24"/>
                <w:szCs w:val="24"/>
              </w:rPr>
              <w:t>Lecture 1</w:t>
            </w:r>
          </w:p>
        </w:tc>
        <w:tc>
          <w:tcPr>
            <w:tcW w:w="8478" w:type="dxa"/>
          </w:tcPr>
          <w:p w:rsidR="002B0380" w:rsidRPr="005F3FE1" w:rsidRDefault="002B0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3FE1">
              <w:rPr>
                <w:rFonts w:asciiTheme="majorBidi" w:hAnsiTheme="majorBidi" w:cstheme="majorBidi"/>
                <w:sz w:val="24"/>
                <w:szCs w:val="24"/>
              </w:rPr>
              <w:t>Nuclear Pharmacy</w:t>
            </w:r>
          </w:p>
        </w:tc>
      </w:tr>
      <w:tr w:rsidR="002B0380" w:rsidRPr="005F3FE1" w:rsidTr="002B0380">
        <w:tc>
          <w:tcPr>
            <w:tcW w:w="1098" w:type="dxa"/>
          </w:tcPr>
          <w:p w:rsidR="002B0380" w:rsidRPr="005F3FE1" w:rsidRDefault="002B0380" w:rsidP="004816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3FE1">
              <w:rPr>
                <w:rFonts w:asciiTheme="majorBidi" w:hAnsiTheme="majorBidi" w:cstheme="majorBidi"/>
                <w:sz w:val="24"/>
                <w:szCs w:val="24"/>
              </w:rPr>
              <w:t xml:space="preserve">Lecture </w:t>
            </w:r>
            <w:r w:rsidRPr="005F3FE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478" w:type="dxa"/>
          </w:tcPr>
          <w:p w:rsidR="002B0380" w:rsidRPr="005F3FE1" w:rsidRDefault="002B0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3FE1">
              <w:rPr>
                <w:rFonts w:asciiTheme="majorBidi" w:hAnsiTheme="majorBidi" w:cstheme="majorBidi"/>
                <w:sz w:val="24"/>
                <w:szCs w:val="24"/>
              </w:rPr>
              <w:t>The Atom</w:t>
            </w:r>
          </w:p>
        </w:tc>
      </w:tr>
      <w:tr w:rsidR="002B0380" w:rsidRPr="005F3FE1" w:rsidTr="002B0380">
        <w:tc>
          <w:tcPr>
            <w:tcW w:w="1098" w:type="dxa"/>
          </w:tcPr>
          <w:p w:rsidR="002B0380" w:rsidRPr="005F3FE1" w:rsidRDefault="002B0380" w:rsidP="004163C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3FE1">
              <w:rPr>
                <w:rFonts w:asciiTheme="majorBidi" w:hAnsiTheme="majorBidi" w:cstheme="majorBidi"/>
                <w:sz w:val="24"/>
                <w:szCs w:val="24"/>
              </w:rPr>
              <w:t xml:space="preserve">Lecture </w:t>
            </w:r>
            <w:r w:rsidRPr="005F3FE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478" w:type="dxa"/>
          </w:tcPr>
          <w:p w:rsidR="002B0380" w:rsidRPr="005F3FE1" w:rsidRDefault="002B0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3FE1">
              <w:rPr>
                <w:rFonts w:asciiTheme="majorBidi" w:hAnsiTheme="majorBidi" w:cstheme="majorBidi"/>
                <w:sz w:val="24"/>
                <w:szCs w:val="24"/>
              </w:rPr>
              <w:t>Instruments for Radiation Detection</w:t>
            </w:r>
          </w:p>
        </w:tc>
      </w:tr>
      <w:tr w:rsidR="002B0380" w:rsidRPr="005F3FE1" w:rsidTr="002B0380">
        <w:tc>
          <w:tcPr>
            <w:tcW w:w="1098" w:type="dxa"/>
          </w:tcPr>
          <w:p w:rsidR="002B0380" w:rsidRPr="005F3FE1" w:rsidRDefault="002B0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3FE1">
              <w:rPr>
                <w:rFonts w:asciiTheme="majorBidi" w:hAnsiTheme="majorBidi" w:cstheme="majorBidi"/>
                <w:sz w:val="24"/>
                <w:szCs w:val="24"/>
              </w:rPr>
              <w:t>Lecture</w:t>
            </w:r>
            <w:r w:rsidRPr="005F3FE1">
              <w:rPr>
                <w:rFonts w:asciiTheme="majorBidi" w:hAnsiTheme="majorBidi" w:cstheme="majorBidi"/>
                <w:sz w:val="24"/>
                <w:szCs w:val="24"/>
              </w:rPr>
              <w:t xml:space="preserve"> 4</w:t>
            </w:r>
          </w:p>
        </w:tc>
        <w:tc>
          <w:tcPr>
            <w:tcW w:w="8478" w:type="dxa"/>
          </w:tcPr>
          <w:p w:rsidR="002B0380" w:rsidRPr="005F3FE1" w:rsidRDefault="002B0380" w:rsidP="002B0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3FE1">
              <w:rPr>
                <w:rFonts w:asciiTheme="majorBidi" w:hAnsiTheme="majorBidi" w:cstheme="majorBidi"/>
                <w:sz w:val="24"/>
                <w:szCs w:val="24"/>
                <w:lang w:val="sv-SE"/>
              </w:rPr>
              <w:t>Occupational Exposure/Protection of the Worker</w:t>
            </w:r>
            <w:r w:rsidRPr="005F3F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B0380" w:rsidRPr="005F3FE1" w:rsidTr="002B0380">
        <w:tc>
          <w:tcPr>
            <w:tcW w:w="1098" w:type="dxa"/>
          </w:tcPr>
          <w:p w:rsidR="002B0380" w:rsidRPr="005F3FE1" w:rsidRDefault="002B0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3FE1">
              <w:rPr>
                <w:rFonts w:asciiTheme="majorBidi" w:hAnsiTheme="majorBidi" w:cstheme="majorBidi"/>
                <w:sz w:val="24"/>
                <w:szCs w:val="24"/>
              </w:rPr>
              <w:t>Lecture</w:t>
            </w:r>
            <w:r w:rsidRPr="005F3FE1">
              <w:rPr>
                <w:rFonts w:asciiTheme="majorBidi" w:hAnsiTheme="majorBidi" w:cstheme="majorBidi"/>
                <w:sz w:val="24"/>
                <w:szCs w:val="24"/>
              </w:rPr>
              <w:t xml:space="preserve"> 5</w:t>
            </w:r>
          </w:p>
        </w:tc>
        <w:tc>
          <w:tcPr>
            <w:tcW w:w="8478" w:type="dxa"/>
          </w:tcPr>
          <w:p w:rsidR="002B0380" w:rsidRPr="005F3FE1" w:rsidRDefault="002B0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3FE1">
              <w:rPr>
                <w:rFonts w:asciiTheme="majorBidi" w:hAnsiTheme="majorBidi" w:cstheme="majorBidi"/>
                <w:sz w:val="24"/>
                <w:szCs w:val="24"/>
              </w:rPr>
              <w:t>Quality Control of Radiopharmaceuticals</w:t>
            </w:r>
          </w:p>
        </w:tc>
      </w:tr>
      <w:tr w:rsidR="002B0380" w:rsidRPr="005F3FE1" w:rsidTr="002B0380">
        <w:tc>
          <w:tcPr>
            <w:tcW w:w="1098" w:type="dxa"/>
          </w:tcPr>
          <w:p w:rsidR="002B0380" w:rsidRPr="005F3FE1" w:rsidRDefault="002B0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3FE1">
              <w:rPr>
                <w:rFonts w:asciiTheme="majorBidi" w:hAnsiTheme="majorBidi" w:cstheme="majorBidi"/>
                <w:sz w:val="24"/>
                <w:szCs w:val="24"/>
              </w:rPr>
              <w:t>Lecture</w:t>
            </w:r>
            <w:r w:rsidRPr="005F3FE1">
              <w:rPr>
                <w:rFonts w:asciiTheme="majorBidi" w:hAnsiTheme="majorBidi" w:cstheme="majorBidi"/>
                <w:sz w:val="24"/>
                <w:szCs w:val="24"/>
              </w:rPr>
              <w:t xml:space="preserve"> 6</w:t>
            </w:r>
          </w:p>
        </w:tc>
        <w:tc>
          <w:tcPr>
            <w:tcW w:w="8478" w:type="dxa"/>
          </w:tcPr>
          <w:p w:rsidR="002B0380" w:rsidRPr="005F3FE1" w:rsidRDefault="002B0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3FE1">
              <w:rPr>
                <w:rFonts w:asciiTheme="majorBidi" w:hAnsiTheme="majorBidi" w:cstheme="majorBidi"/>
                <w:sz w:val="24"/>
                <w:szCs w:val="24"/>
              </w:rPr>
              <w:t>Radionuclide Production</w:t>
            </w:r>
          </w:p>
        </w:tc>
      </w:tr>
      <w:tr w:rsidR="002B0380" w:rsidRPr="005F3FE1" w:rsidTr="002B0380">
        <w:tc>
          <w:tcPr>
            <w:tcW w:w="1098" w:type="dxa"/>
          </w:tcPr>
          <w:p w:rsidR="002B0380" w:rsidRPr="005F3FE1" w:rsidRDefault="002B0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3FE1">
              <w:rPr>
                <w:rFonts w:asciiTheme="majorBidi" w:hAnsiTheme="majorBidi" w:cstheme="majorBidi"/>
                <w:sz w:val="24"/>
                <w:szCs w:val="24"/>
              </w:rPr>
              <w:t>Lecture</w:t>
            </w:r>
            <w:r w:rsidRPr="005F3FE1">
              <w:rPr>
                <w:rFonts w:asciiTheme="majorBidi" w:hAnsiTheme="majorBidi" w:cstheme="majorBidi"/>
                <w:sz w:val="24"/>
                <w:szCs w:val="24"/>
              </w:rPr>
              <w:t xml:space="preserve"> 7</w:t>
            </w:r>
          </w:p>
        </w:tc>
        <w:tc>
          <w:tcPr>
            <w:tcW w:w="8478" w:type="dxa"/>
          </w:tcPr>
          <w:p w:rsidR="002B0380" w:rsidRPr="005F3FE1" w:rsidRDefault="002B0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3FE1">
              <w:rPr>
                <w:rFonts w:asciiTheme="majorBidi" w:hAnsiTheme="majorBidi" w:cstheme="majorBidi"/>
                <w:sz w:val="24"/>
                <w:szCs w:val="24"/>
              </w:rPr>
              <w:t>Radionuclide Generators 1</w:t>
            </w:r>
          </w:p>
        </w:tc>
      </w:tr>
      <w:tr w:rsidR="002B0380" w:rsidRPr="005F3FE1" w:rsidTr="002B0380">
        <w:tc>
          <w:tcPr>
            <w:tcW w:w="1098" w:type="dxa"/>
          </w:tcPr>
          <w:p w:rsidR="002B0380" w:rsidRPr="005F3FE1" w:rsidRDefault="002B0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3FE1">
              <w:rPr>
                <w:rFonts w:asciiTheme="majorBidi" w:hAnsiTheme="majorBidi" w:cstheme="majorBidi"/>
                <w:sz w:val="24"/>
                <w:szCs w:val="24"/>
              </w:rPr>
              <w:t>Lecture</w:t>
            </w:r>
            <w:r w:rsidRPr="005F3FE1">
              <w:rPr>
                <w:rFonts w:asciiTheme="majorBidi" w:hAnsiTheme="majorBidi" w:cstheme="majorBidi"/>
                <w:sz w:val="24"/>
                <w:szCs w:val="24"/>
              </w:rPr>
              <w:t xml:space="preserve"> 8</w:t>
            </w:r>
          </w:p>
        </w:tc>
        <w:tc>
          <w:tcPr>
            <w:tcW w:w="8478" w:type="dxa"/>
          </w:tcPr>
          <w:p w:rsidR="002B0380" w:rsidRPr="005F3FE1" w:rsidRDefault="002B0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3FE1">
              <w:rPr>
                <w:rFonts w:asciiTheme="majorBidi" w:hAnsiTheme="majorBidi" w:cstheme="majorBidi"/>
                <w:sz w:val="24"/>
                <w:szCs w:val="24"/>
              </w:rPr>
              <w:t>Radionuclide Generators2</w:t>
            </w:r>
          </w:p>
        </w:tc>
      </w:tr>
      <w:tr w:rsidR="002B0380" w:rsidRPr="005F3FE1" w:rsidTr="002B0380">
        <w:tc>
          <w:tcPr>
            <w:tcW w:w="1098" w:type="dxa"/>
          </w:tcPr>
          <w:p w:rsidR="002B0380" w:rsidRPr="005F3FE1" w:rsidRDefault="002B0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3FE1">
              <w:rPr>
                <w:rFonts w:asciiTheme="majorBidi" w:hAnsiTheme="majorBidi" w:cstheme="majorBidi"/>
                <w:sz w:val="24"/>
                <w:szCs w:val="24"/>
              </w:rPr>
              <w:t>Lecture</w:t>
            </w:r>
            <w:r w:rsidRPr="005F3FE1">
              <w:rPr>
                <w:rFonts w:asciiTheme="majorBidi" w:hAnsiTheme="majorBidi" w:cstheme="majorBidi"/>
                <w:sz w:val="24"/>
                <w:szCs w:val="24"/>
              </w:rPr>
              <w:t xml:space="preserve"> 9</w:t>
            </w:r>
          </w:p>
        </w:tc>
        <w:tc>
          <w:tcPr>
            <w:tcW w:w="8478" w:type="dxa"/>
          </w:tcPr>
          <w:p w:rsidR="002B0380" w:rsidRPr="005F3FE1" w:rsidRDefault="002B0380" w:rsidP="002B0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3FE1">
              <w:rPr>
                <w:rFonts w:asciiTheme="majorBidi" w:hAnsiTheme="majorBidi" w:cstheme="majorBidi"/>
                <w:sz w:val="24"/>
                <w:szCs w:val="24"/>
              </w:rPr>
              <w:t xml:space="preserve">Internal Radiation </w:t>
            </w:r>
            <w:proofErr w:type="spellStart"/>
            <w:r w:rsidRPr="005F3FE1">
              <w:rPr>
                <w:rFonts w:asciiTheme="majorBidi" w:hAnsiTheme="majorBidi" w:cstheme="majorBidi"/>
                <w:sz w:val="24"/>
                <w:szCs w:val="24"/>
              </w:rPr>
              <w:t>Dosimetry</w:t>
            </w:r>
            <w:proofErr w:type="spellEnd"/>
          </w:p>
        </w:tc>
      </w:tr>
    </w:tbl>
    <w:p w:rsidR="002B0380" w:rsidRPr="005F3FE1" w:rsidRDefault="002B0380">
      <w:pPr>
        <w:rPr>
          <w:rFonts w:asciiTheme="majorBidi" w:hAnsiTheme="majorBidi" w:cstheme="majorBidi"/>
          <w:sz w:val="24"/>
          <w:szCs w:val="24"/>
        </w:rPr>
      </w:pPr>
    </w:p>
    <w:p w:rsidR="0033369D" w:rsidRDefault="0033369D" w:rsidP="0033369D">
      <w:pPr>
        <w:rPr>
          <w:rFonts w:asciiTheme="majorBidi" w:hAnsiTheme="majorBidi" w:cstheme="majorBidi"/>
          <w:noProof/>
          <w:sz w:val="24"/>
          <w:szCs w:val="24"/>
        </w:rPr>
      </w:pPr>
      <w:r w:rsidRPr="006154A5">
        <w:rPr>
          <w:rFonts w:asciiTheme="majorBidi" w:hAnsiTheme="majorBidi" w:cstheme="majorBidi"/>
          <w:b/>
          <w:bCs/>
          <w:sz w:val="24"/>
          <w:szCs w:val="24"/>
        </w:rPr>
        <w:t>Learning</w:t>
      </w:r>
      <w:r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6154A5">
        <w:rPr>
          <w:rFonts w:asciiTheme="majorBidi" w:hAnsiTheme="majorBidi" w:cstheme="majorBidi"/>
          <w:b/>
          <w:bCs/>
          <w:sz w:val="24"/>
          <w:szCs w:val="24"/>
        </w:rPr>
        <w:t>Resources</w:t>
      </w:r>
      <w:r>
        <w:rPr>
          <w:rFonts w:asciiTheme="majorBidi" w:hAnsiTheme="majorBidi" w:cstheme="majorBidi"/>
          <w:noProof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394"/>
        <w:gridCol w:w="1764"/>
        <w:gridCol w:w="3024"/>
      </w:tblGrid>
      <w:tr w:rsidR="0033369D" w:rsidRPr="0033369D" w:rsidTr="0033369D">
        <w:tc>
          <w:tcPr>
            <w:tcW w:w="2394" w:type="dxa"/>
          </w:tcPr>
          <w:p w:rsidR="0033369D" w:rsidRPr="0033369D" w:rsidRDefault="0033369D" w:rsidP="003336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36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764" w:type="dxa"/>
          </w:tcPr>
          <w:p w:rsidR="0033369D" w:rsidRPr="0033369D" w:rsidRDefault="0033369D" w:rsidP="003336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36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3024" w:type="dxa"/>
          </w:tcPr>
          <w:p w:rsidR="0033369D" w:rsidRPr="0033369D" w:rsidRDefault="0033369D" w:rsidP="003336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36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Publisher/Publication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33369D" w:rsidTr="0033369D">
        <w:tc>
          <w:tcPr>
            <w:tcW w:w="2394" w:type="dxa"/>
          </w:tcPr>
          <w:p w:rsidR="0033369D" w:rsidRPr="0033369D" w:rsidRDefault="0033369D" w:rsidP="003336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369D">
              <w:rPr>
                <w:rFonts w:asciiTheme="majorBidi" w:hAnsiTheme="majorBidi" w:cstheme="majorBidi"/>
                <w:sz w:val="24"/>
                <w:szCs w:val="24"/>
              </w:rPr>
              <w:t>Fundamentals of Nuclear Pharmacy</w:t>
            </w:r>
          </w:p>
          <w:p w:rsidR="0033369D" w:rsidRDefault="0033369D" w:rsidP="003336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4" w:type="dxa"/>
          </w:tcPr>
          <w:p w:rsidR="0033369D" w:rsidRDefault="0033369D" w:rsidP="0033369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3369D">
              <w:rPr>
                <w:rFonts w:asciiTheme="majorBidi" w:hAnsiTheme="majorBidi" w:cstheme="majorBidi"/>
                <w:sz w:val="24"/>
                <w:szCs w:val="24"/>
              </w:rPr>
              <w:t>Saha</w:t>
            </w:r>
            <w:proofErr w:type="spellEnd"/>
            <w:r w:rsidRPr="0033369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33369D">
              <w:rPr>
                <w:rFonts w:asciiTheme="majorBidi" w:hAnsiTheme="majorBidi" w:cstheme="majorBidi"/>
                <w:sz w:val="24"/>
                <w:szCs w:val="24"/>
              </w:rPr>
              <w:t>Gopal</w:t>
            </w:r>
            <w:proofErr w:type="spellEnd"/>
            <w:r w:rsidRPr="0033369D">
              <w:rPr>
                <w:rFonts w:asciiTheme="majorBidi" w:hAnsiTheme="majorBidi" w:cstheme="majorBidi"/>
                <w:sz w:val="24"/>
                <w:szCs w:val="24"/>
              </w:rPr>
              <w:t xml:space="preserve"> B</w:t>
            </w:r>
          </w:p>
        </w:tc>
        <w:tc>
          <w:tcPr>
            <w:tcW w:w="3024" w:type="dxa"/>
          </w:tcPr>
          <w:p w:rsidR="0033369D" w:rsidRDefault="0033369D" w:rsidP="003336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Springer. </w:t>
            </w:r>
            <w:r w:rsidRPr="0033369D">
              <w:rPr>
                <w:rFonts w:asciiTheme="majorBidi" w:hAnsiTheme="majorBidi" w:cstheme="majorBidi"/>
                <w:sz w:val="24"/>
                <w:szCs w:val="24"/>
              </w:rPr>
              <w:t>6th ed., 2010</w:t>
            </w:r>
          </w:p>
        </w:tc>
      </w:tr>
    </w:tbl>
    <w:p w:rsidR="0033369D" w:rsidRPr="005F3FE1" w:rsidRDefault="0033369D" w:rsidP="003336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33369D" w:rsidRPr="005F3FE1" w:rsidSect="0018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0380"/>
    <w:rsid w:val="00180D0A"/>
    <w:rsid w:val="002B0380"/>
    <w:rsid w:val="0033369D"/>
    <w:rsid w:val="00547FF0"/>
    <w:rsid w:val="00595FB6"/>
    <w:rsid w:val="005F3FE1"/>
    <w:rsid w:val="006154A5"/>
    <w:rsid w:val="00623D4B"/>
    <w:rsid w:val="006253E1"/>
    <w:rsid w:val="00BF0741"/>
    <w:rsid w:val="00F8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0A"/>
  </w:style>
  <w:style w:type="paragraph" w:styleId="Heading1">
    <w:name w:val="heading 1"/>
    <w:basedOn w:val="Normal"/>
    <w:link w:val="Heading1Char"/>
    <w:uiPriority w:val="9"/>
    <w:qFormat/>
    <w:rsid w:val="0033369D"/>
    <w:pPr>
      <w:spacing w:after="0" w:line="240" w:lineRule="auto"/>
      <w:outlineLvl w:val="0"/>
    </w:pPr>
    <w:rPr>
      <w:rFonts w:ascii="Minion Pro" w:eastAsia="Times New Roman" w:hAnsi="Minion Pro" w:cs="Times New Roman"/>
      <w:color w:val="035289"/>
      <w:kern w:val="36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B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369D"/>
    <w:rPr>
      <w:rFonts w:ascii="Minion Pro" w:eastAsia="Times New Roman" w:hAnsi="Minion Pro" w:cs="Times New Roman"/>
      <w:color w:val="035289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7741">
                  <w:marLeft w:val="0"/>
                  <w:marRight w:val="1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8279">
                              <w:marLeft w:val="19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2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2012-12-15T09:29:00Z</dcterms:created>
  <dcterms:modified xsi:type="dcterms:W3CDTF">2012-12-15T09:59:00Z</dcterms:modified>
</cp:coreProperties>
</file>