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62" w:rsidRDefault="00316462">
      <w:pPr>
        <w:spacing w:line="480" w:lineRule="auto"/>
        <w:rPr>
          <w:b/>
        </w:rPr>
      </w:pPr>
    </w:p>
    <w:p w:rsidR="007D00C5" w:rsidRDefault="00E16A25">
      <w:pPr>
        <w:spacing w:line="480" w:lineRule="auto"/>
        <w:rPr>
          <w:b/>
        </w:rPr>
      </w:pPr>
      <w:r>
        <w:rPr>
          <w:b/>
        </w:rPr>
        <w:t>King Saud University</w:t>
      </w:r>
      <w:r>
        <w:rPr>
          <w:b/>
        </w:rPr>
        <w:tab/>
        <w:t xml:space="preserve">      </w:t>
      </w:r>
      <w:r>
        <w:rPr>
          <w:rFonts w:ascii="Times New Roman" w:hAnsi="Times New Roman"/>
          <w:b/>
          <w:noProof/>
          <w:color w:val="auto"/>
        </w:rPr>
        <w:drawing>
          <wp:inline distT="0" distB="0" distL="0" distR="0">
            <wp:extent cx="1952625" cy="5905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52625" cy="590550"/>
                    </a:xfrm>
                    <a:prstGeom prst="rect">
                      <a:avLst/>
                    </a:prstGeom>
                    <a:noFill/>
                    <a:ln w="9525">
                      <a:noFill/>
                      <a:miter lim="800000"/>
                      <a:headEnd/>
                      <a:tailEnd/>
                    </a:ln>
                  </pic:spPr>
                </pic:pic>
              </a:graphicData>
            </a:graphic>
          </wp:inline>
        </w:drawing>
      </w:r>
      <w:r>
        <w:rPr>
          <w:b/>
        </w:rPr>
        <w:t xml:space="preserve">   </w:t>
      </w:r>
      <w:r w:rsidR="008B2032">
        <w:rPr>
          <w:b/>
        </w:rPr>
        <w:tab/>
      </w:r>
      <w:r w:rsidR="007D00C5">
        <w:rPr>
          <w:b/>
        </w:rPr>
        <w:t>Course Syllabus</w:t>
      </w:r>
    </w:p>
    <w:p w:rsidR="007D00C5" w:rsidRDefault="007D00C5" w:rsidP="008B2032">
      <w:pPr>
        <w:spacing w:line="480" w:lineRule="auto"/>
        <w:rPr>
          <w:b/>
        </w:rPr>
      </w:pPr>
      <w:r>
        <w:rPr>
          <w:b/>
        </w:rPr>
        <w:t xml:space="preserve">College of Arts </w:t>
      </w:r>
      <w:r>
        <w:rPr>
          <w:b/>
        </w:rPr>
        <w:tab/>
      </w:r>
      <w:r>
        <w:rPr>
          <w:b/>
        </w:rPr>
        <w:tab/>
      </w:r>
      <w:r>
        <w:rPr>
          <w:b/>
        </w:rPr>
        <w:tab/>
      </w:r>
      <w:r>
        <w:rPr>
          <w:b/>
        </w:rPr>
        <w:tab/>
      </w:r>
      <w:r>
        <w:rPr>
          <w:b/>
        </w:rPr>
        <w:tab/>
      </w:r>
      <w:r>
        <w:rPr>
          <w:b/>
        </w:rPr>
        <w:tab/>
      </w:r>
      <w:r>
        <w:rPr>
          <w:b/>
        </w:rPr>
        <w:tab/>
      </w:r>
      <w:r w:rsidR="008B2032">
        <w:rPr>
          <w:b/>
        </w:rPr>
        <w:t xml:space="preserve">         </w:t>
      </w:r>
      <w:r w:rsidR="00E16A25">
        <w:rPr>
          <w:b/>
        </w:rPr>
        <w:t xml:space="preserve">      Semester: Second</w:t>
      </w:r>
    </w:p>
    <w:p w:rsidR="007D00C5" w:rsidRDefault="007D00C5">
      <w:pPr>
        <w:spacing w:line="480" w:lineRule="auto"/>
        <w:rPr>
          <w:b/>
        </w:rPr>
      </w:pPr>
      <w:r>
        <w:rPr>
          <w:b/>
        </w:rPr>
        <w:t>Department of English Language and Literature</w:t>
      </w:r>
      <w:bookmarkStart w:id="0" w:name="GoBack"/>
      <w:bookmarkEnd w:id="0"/>
      <w:r w:rsidR="000B345A">
        <w:rPr>
          <w:b/>
        </w:rPr>
        <w:t xml:space="preserve">        </w:t>
      </w:r>
      <w:r w:rsidR="000B345A">
        <w:rPr>
          <w:b/>
        </w:rPr>
        <w:tab/>
      </w:r>
      <w:r w:rsidR="008B2032">
        <w:rPr>
          <w:b/>
        </w:rPr>
        <w:t xml:space="preserve">                   </w:t>
      </w:r>
      <w:r w:rsidR="00E16A25">
        <w:rPr>
          <w:b/>
        </w:rPr>
        <w:t xml:space="preserve">        </w:t>
      </w:r>
      <w:r w:rsidR="00D136EE">
        <w:rPr>
          <w:b/>
        </w:rPr>
        <w:t>Academic Year: 1436-37</w:t>
      </w:r>
      <w:r>
        <w:rPr>
          <w:b/>
        </w:rPr>
        <w:tab/>
      </w:r>
    </w:p>
    <w:p w:rsidR="007D00C5" w:rsidRDefault="007D00C5">
      <w:pPr>
        <w:rPr>
          <w:b/>
        </w:rPr>
      </w:pPr>
    </w:p>
    <w:p w:rsidR="007D00C5" w:rsidRDefault="007D00C5">
      <w:pPr>
        <w:rPr>
          <w:b/>
        </w:rPr>
      </w:pPr>
      <w:r>
        <w:rPr>
          <w:b/>
        </w:rPr>
        <w:t>Instructor’s information:</w:t>
      </w:r>
    </w:p>
    <w:p w:rsidR="007D00C5" w:rsidRDefault="007D00C5">
      <w:pPr>
        <w:rPr>
          <w:b/>
        </w:rPr>
      </w:pPr>
    </w:p>
    <w:tbl>
      <w:tblPr>
        <w:tblW w:w="0" w:type="auto"/>
        <w:tblInd w:w="5" w:type="dxa"/>
        <w:tblLayout w:type="fixed"/>
        <w:tblLook w:val="0000" w:firstRow="0" w:lastRow="0" w:firstColumn="0" w:lastColumn="0" w:noHBand="0" w:noVBand="0"/>
      </w:tblPr>
      <w:tblGrid>
        <w:gridCol w:w="3234"/>
        <w:gridCol w:w="6956"/>
      </w:tblGrid>
      <w:tr w:rsidR="007D00C5">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Instructor’s name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rsidP="00B15F1D">
            <w:pPr>
              <w:pStyle w:val="TableGrid1"/>
            </w:pPr>
            <w:r>
              <w:t xml:space="preserve">Dr. </w:t>
            </w:r>
            <w:r w:rsidR="00B15F1D">
              <w:t>Madhawy Abdulaziz Al-Meshaal</w:t>
            </w:r>
          </w:p>
        </w:tc>
      </w:tr>
      <w:tr w:rsidR="007D00C5">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Office Hours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6136CD">
            <w:pPr>
              <w:pStyle w:val="TableGrid1"/>
            </w:pPr>
            <w:r>
              <w:t xml:space="preserve">Sun. </w:t>
            </w:r>
            <w:r w:rsidR="006B5720">
              <w:t xml:space="preserve">&amp; Tues: </w:t>
            </w:r>
            <w:r>
              <w:t>1-2, Wed. 10-12</w:t>
            </w:r>
          </w:p>
        </w:tc>
      </w:tr>
      <w:tr w:rsidR="007D00C5">
        <w:trPr>
          <w:cantSplit/>
          <w:trHeight w:val="435"/>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Office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pPr>
            <w:r>
              <w:t xml:space="preserve"> </w:t>
            </w:r>
            <w:r w:rsidR="003D018D">
              <w:t>College of Arts Building, 3</w:t>
            </w:r>
            <w:r w:rsidR="003D018D" w:rsidRPr="003D018D">
              <w:rPr>
                <w:vertAlign w:val="superscript"/>
              </w:rPr>
              <w:t>rd</w:t>
            </w:r>
            <w:r w:rsidR="003D018D">
              <w:t xml:space="preserve">  floor, Office130</w:t>
            </w:r>
          </w:p>
        </w:tc>
      </w:tr>
      <w:tr w:rsidR="007D00C5">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Email address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9A5474">
            <w:pPr>
              <w:pStyle w:val="TableGrid1"/>
            </w:pPr>
            <w:hyperlink r:id="rId10" w:history="1">
              <w:r w:rsidR="00B15F1D" w:rsidRPr="00782D79">
                <w:rPr>
                  <w:rStyle w:val="Hyperlink"/>
                </w:rPr>
                <w:t>malmeshaal@ksu.edu.sa</w:t>
              </w:r>
            </w:hyperlink>
          </w:p>
        </w:tc>
      </w:tr>
    </w:tbl>
    <w:p w:rsidR="007D00C5" w:rsidRDefault="007D00C5">
      <w:pPr>
        <w:pStyle w:val="FreeFormA"/>
        <w:rPr>
          <w:b/>
        </w:rPr>
      </w:pPr>
    </w:p>
    <w:p w:rsidR="007D00C5" w:rsidRDefault="007D00C5">
      <w:pPr>
        <w:rPr>
          <w:b/>
        </w:rPr>
      </w:pPr>
    </w:p>
    <w:p w:rsidR="007D00C5" w:rsidRDefault="007D00C5">
      <w:pPr>
        <w:rPr>
          <w:b/>
        </w:rPr>
      </w:pPr>
      <w:r>
        <w:rPr>
          <w:b/>
        </w:rPr>
        <w:t>Course information:</w:t>
      </w:r>
    </w:p>
    <w:p w:rsidR="007D00C5" w:rsidRDefault="007D00C5">
      <w:pPr>
        <w:rPr>
          <w:b/>
        </w:rPr>
      </w:pPr>
    </w:p>
    <w:tbl>
      <w:tblPr>
        <w:tblW w:w="0" w:type="auto"/>
        <w:tblInd w:w="5" w:type="dxa"/>
        <w:tblLayout w:type="fixed"/>
        <w:tblLook w:val="0000" w:firstRow="0" w:lastRow="0" w:firstColumn="0" w:lastColumn="0" w:noHBand="0" w:noVBand="0"/>
      </w:tblPr>
      <w:tblGrid>
        <w:gridCol w:w="3234"/>
        <w:gridCol w:w="6956"/>
      </w:tblGrid>
      <w:tr w:rsidR="007D00C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Course Title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20728D">
            <w:pPr>
              <w:pStyle w:val="TableGrid1"/>
            </w:pPr>
            <w:r>
              <w:t>Development of Drama</w:t>
            </w:r>
          </w:p>
        </w:tc>
      </w:tr>
      <w:tr w:rsidR="007D00C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Course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D136EE">
            <w:pPr>
              <w:pStyle w:val="TableGrid1"/>
            </w:pPr>
            <w:r>
              <w:t>442</w:t>
            </w:r>
          </w:p>
        </w:tc>
      </w:tr>
      <w:tr w:rsidR="007D00C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Course description</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20728D" w:rsidP="0020728D">
            <w:r>
              <w:t xml:space="preserve"> </w:t>
            </w:r>
            <w:r w:rsidRPr="0020728D">
              <w:rPr>
                <w:rFonts w:ascii="Cambria" w:hAnsi="Cambria"/>
              </w:rPr>
              <w:t>This course begins by highlighting drama as the oldest artistic form. It provides students with a chronological survey of the development of drama as an art form, and its relation to society from the ancient Greek period, through the Renaissance, down to the Restoration Period. It also provides a study of representative plays which will be considered in terms of the dramatic movements they represent</w:t>
            </w:r>
            <w:r>
              <w:rPr>
                <w:rFonts w:ascii="Cambria" w:hAnsi="Cambria"/>
              </w:rPr>
              <w:t>.</w:t>
            </w:r>
          </w:p>
        </w:tc>
      </w:tr>
      <w:tr w:rsidR="007D00C5">
        <w:trPr>
          <w:cantSplit/>
          <w:trHeight w:val="120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Course Objectives (i.e. Learning Outcomes as specified in the Course Specifications)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pPr>
            <w:r>
              <w:t xml:space="preserve">By the end of the course, students should be able to: </w:t>
            </w:r>
          </w:p>
          <w:p w:rsidR="007D00C5" w:rsidRPr="00563F6E" w:rsidRDefault="007D00C5" w:rsidP="007D00C5">
            <w:pPr>
              <w:autoSpaceDE w:val="0"/>
              <w:autoSpaceDN w:val="0"/>
              <w:adjustRightInd w:val="0"/>
              <w:rPr>
                <w:rFonts w:ascii="Times New Roman" w:hAnsi="Times New Roman"/>
              </w:rPr>
            </w:pPr>
          </w:p>
          <w:p w:rsidR="0020728D" w:rsidRPr="0020728D" w:rsidRDefault="0020728D" w:rsidP="0020728D">
            <w:pPr>
              <w:rPr>
                <w:rFonts w:ascii="Times New Roman" w:hAnsi="Times New Roman"/>
              </w:rPr>
            </w:pPr>
            <w:r>
              <w:rPr>
                <w:rFonts w:ascii="Times New Roman" w:hAnsi="Times New Roman"/>
              </w:rPr>
              <w:t>1</w:t>
            </w:r>
            <w:r w:rsidRPr="0020728D">
              <w:rPr>
                <w:rFonts w:ascii="Times New Roman" w:hAnsi="Times New Roman"/>
              </w:rPr>
              <w:t xml:space="preserve"> Describe drama as the most representative art form of the human experience </w:t>
            </w:r>
          </w:p>
          <w:p w:rsidR="0020728D" w:rsidRPr="0020728D" w:rsidRDefault="0020728D" w:rsidP="0020728D">
            <w:pPr>
              <w:rPr>
                <w:rFonts w:ascii="Times New Roman" w:hAnsi="Times New Roman"/>
              </w:rPr>
            </w:pPr>
            <w:r w:rsidRPr="0020728D">
              <w:rPr>
                <w:rFonts w:ascii="Times New Roman" w:hAnsi="Times New Roman"/>
              </w:rPr>
              <w:t xml:space="preserve">2. Explain the intellectual and functional nature of drama </w:t>
            </w:r>
          </w:p>
          <w:p w:rsidR="0020728D" w:rsidRPr="0020728D" w:rsidRDefault="0020728D" w:rsidP="0020728D">
            <w:pPr>
              <w:rPr>
                <w:rFonts w:ascii="Times New Roman" w:hAnsi="Times New Roman"/>
              </w:rPr>
            </w:pPr>
            <w:r w:rsidRPr="0020728D">
              <w:rPr>
                <w:rFonts w:ascii="Times New Roman" w:hAnsi="Times New Roman"/>
              </w:rPr>
              <w:t xml:space="preserve">3. Outline the social, political and cultural changes during the periods covered by the course </w:t>
            </w:r>
          </w:p>
          <w:p w:rsidR="0020728D" w:rsidRPr="0020728D" w:rsidRDefault="0020728D" w:rsidP="0020728D">
            <w:pPr>
              <w:rPr>
                <w:rFonts w:ascii="Times New Roman" w:hAnsi="Times New Roman"/>
              </w:rPr>
            </w:pPr>
            <w:r w:rsidRPr="0020728D">
              <w:rPr>
                <w:rFonts w:ascii="Times New Roman" w:hAnsi="Times New Roman"/>
              </w:rPr>
              <w:t xml:space="preserve">4. Relate drama as an art form to social and cultural change </w:t>
            </w:r>
          </w:p>
          <w:p w:rsidR="0020728D" w:rsidRPr="0020728D" w:rsidRDefault="0020728D" w:rsidP="0020728D">
            <w:pPr>
              <w:rPr>
                <w:rFonts w:ascii="Times New Roman" w:hAnsi="Times New Roman"/>
              </w:rPr>
            </w:pPr>
            <w:r w:rsidRPr="0020728D">
              <w:rPr>
                <w:rFonts w:ascii="Times New Roman" w:hAnsi="Times New Roman"/>
              </w:rPr>
              <w:t>5. Approach a dramatic text analytically and critically</w:t>
            </w:r>
          </w:p>
          <w:p w:rsidR="0020728D" w:rsidRPr="0020728D" w:rsidRDefault="0020728D" w:rsidP="0020728D">
            <w:pPr>
              <w:rPr>
                <w:rFonts w:ascii="Times New Roman" w:hAnsi="Times New Roman"/>
              </w:rPr>
            </w:pPr>
            <w:r w:rsidRPr="0020728D">
              <w:rPr>
                <w:rFonts w:ascii="Times New Roman" w:hAnsi="Times New Roman"/>
              </w:rPr>
              <w:t>6. Explain the relationship between drama and its age.</w:t>
            </w:r>
          </w:p>
          <w:p w:rsidR="0020728D" w:rsidRPr="0020728D" w:rsidRDefault="0020728D" w:rsidP="0020728D">
            <w:pPr>
              <w:rPr>
                <w:rFonts w:ascii="Times New Roman" w:hAnsi="Times New Roman"/>
              </w:rPr>
            </w:pPr>
            <w:r w:rsidRPr="0020728D">
              <w:rPr>
                <w:rFonts w:ascii="Times New Roman" w:hAnsi="Times New Roman"/>
              </w:rPr>
              <w:t>7. Explain the timeliness and universality of drama as an art form.</w:t>
            </w:r>
          </w:p>
          <w:p w:rsidR="0020728D" w:rsidRPr="0020728D" w:rsidRDefault="0020728D" w:rsidP="0020728D">
            <w:pPr>
              <w:rPr>
                <w:rFonts w:ascii="Times New Roman" w:hAnsi="Times New Roman"/>
              </w:rPr>
            </w:pPr>
            <w:r w:rsidRPr="0020728D">
              <w:rPr>
                <w:rFonts w:ascii="Times New Roman" w:hAnsi="Times New Roman"/>
              </w:rPr>
              <w:t xml:space="preserve">8. Trace the development of drama throughout different literary periods. </w:t>
            </w:r>
          </w:p>
          <w:p w:rsidR="007D00C5" w:rsidRPr="003D296F" w:rsidRDefault="0020728D" w:rsidP="0020728D">
            <w:pPr>
              <w:rPr>
                <w:rFonts w:ascii="Cambria" w:hAnsi="Cambria"/>
              </w:rPr>
            </w:pPr>
            <w:r w:rsidRPr="0020728D">
              <w:rPr>
                <w:rFonts w:ascii="Times New Roman" w:hAnsi="Times New Roman"/>
              </w:rPr>
              <w:t>9. Write an academic essay 2000-3000 words long.</w:t>
            </w:r>
            <w:r w:rsidR="007D00C5">
              <w:rPr>
                <w:rFonts w:ascii="Times New Roman" w:hAnsi="Times New Roman"/>
              </w:rPr>
              <w:t xml:space="preserve"> </w:t>
            </w:r>
          </w:p>
          <w:p w:rsidR="007D00C5" w:rsidRPr="003D296F" w:rsidRDefault="007D00C5" w:rsidP="007D00C5">
            <w:pPr>
              <w:ind w:left="720"/>
              <w:rPr>
                <w:rFonts w:ascii="Cambria" w:hAnsi="Cambria"/>
                <w:i/>
              </w:rPr>
            </w:pPr>
          </w:p>
          <w:p w:rsidR="007D00C5" w:rsidRPr="003D296F" w:rsidRDefault="007D00C5" w:rsidP="007D00C5">
            <w:pPr>
              <w:rPr>
                <w:rFonts w:ascii="Cambria" w:hAnsi="Cambria"/>
                <w:i/>
              </w:rPr>
            </w:pPr>
          </w:p>
          <w:p w:rsidR="007D00C5" w:rsidRDefault="007D00C5">
            <w:pPr>
              <w:pStyle w:val="TableGrid1"/>
            </w:pPr>
          </w:p>
        </w:tc>
      </w:tr>
      <w:tr w:rsidR="007D00C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lastRenderedPageBreak/>
              <w:t>Textbook</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A478D" w:rsidRDefault="007A478D" w:rsidP="007A478D">
            <w:pPr>
              <w:pStyle w:val="TableGrid1"/>
            </w:pPr>
            <w:r>
              <w:t xml:space="preserve">Textbooks:  </w:t>
            </w:r>
          </w:p>
          <w:p w:rsidR="007A478D" w:rsidRDefault="007A478D" w:rsidP="007A478D">
            <w:pPr>
              <w:pStyle w:val="TableGrid1"/>
            </w:pPr>
          </w:p>
          <w:p w:rsidR="007A478D" w:rsidRDefault="007A478D" w:rsidP="007A478D">
            <w:pPr>
              <w:pStyle w:val="TableGrid1"/>
            </w:pPr>
            <w:r>
              <w:t xml:space="preserve">Brown, J.R. (2001). The Oxford Illustrated History of Theatre. Oxford UP. </w:t>
            </w:r>
          </w:p>
          <w:p w:rsidR="007A478D" w:rsidRDefault="007A478D" w:rsidP="007A478D">
            <w:pPr>
              <w:pStyle w:val="TableGrid1"/>
            </w:pPr>
            <w:r>
              <w:t xml:space="preserve">Brook, P. (2008). The Empty Space. Penguin Classics. </w:t>
            </w:r>
          </w:p>
          <w:p w:rsidR="007A478D" w:rsidRDefault="007A478D" w:rsidP="007A478D">
            <w:pPr>
              <w:pStyle w:val="TableGrid1"/>
            </w:pPr>
            <w:r>
              <w:t xml:space="preserve">Krasner, D. (2007). Theatre in Theory 1900-2000: An Anthology. Wiley-Blackwell. </w:t>
            </w:r>
          </w:p>
          <w:p w:rsidR="007A478D" w:rsidRDefault="007A478D" w:rsidP="007A478D">
            <w:pPr>
              <w:pStyle w:val="TableGrid1"/>
            </w:pPr>
            <w:r>
              <w:t xml:space="preserve">Sophocles. (2008). Oedipus the King. Oxford Paperbacks; Reissue edition. </w:t>
            </w:r>
          </w:p>
          <w:p w:rsidR="007A478D" w:rsidRDefault="007A478D" w:rsidP="007A478D">
            <w:pPr>
              <w:pStyle w:val="TableGrid1"/>
            </w:pPr>
            <w:r>
              <w:t xml:space="preserve">Marlowe, C. (2005). Dr Faustus. Digireads.com. </w:t>
            </w:r>
          </w:p>
          <w:p w:rsidR="007A478D" w:rsidRDefault="007A478D" w:rsidP="007A478D">
            <w:pPr>
              <w:pStyle w:val="TableGrid1"/>
            </w:pPr>
            <w:r>
              <w:t>Congreve, W. (1994). The Way of the World. Dover Publications Inc.</w:t>
            </w:r>
          </w:p>
        </w:tc>
      </w:tr>
      <w:tr w:rsidR="007D00C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Supplementary Reading</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6095" w:rsidRDefault="00776095" w:rsidP="00D136EE">
            <w:pPr>
              <w:rPr>
                <w:rFonts w:ascii="Cambria" w:hAnsi="Cambria"/>
                <w:lang w:bidi="ar-EG"/>
              </w:rPr>
            </w:pPr>
            <w:r w:rsidRPr="00801423">
              <w:rPr>
                <w:rFonts w:ascii="Cambria" w:hAnsi="Cambria"/>
                <w:i/>
                <w:iCs/>
                <w:lang w:bidi="ar-EG"/>
              </w:rPr>
              <w:t>MLA Handbook for Writers of Research Papers</w:t>
            </w:r>
            <w:r>
              <w:rPr>
                <w:rFonts w:ascii="Cambria" w:hAnsi="Cambria"/>
                <w:lang w:bidi="ar-EG"/>
              </w:rPr>
              <w:t>. 7</w:t>
            </w:r>
            <w:r w:rsidRPr="00776095">
              <w:rPr>
                <w:rFonts w:ascii="Cambria" w:hAnsi="Cambria"/>
                <w:vertAlign w:val="superscript"/>
                <w:lang w:bidi="ar-EG"/>
              </w:rPr>
              <w:t>th</w:t>
            </w:r>
            <w:r>
              <w:rPr>
                <w:rFonts w:ascii="Cambria" w:hAnsi="Cambria"/>
                <w:lang w:bidi="ar-EG"/>
              </w:rPr>
              <w:t xml:space="preserve"> ed.  New York:</w:t>
            </w:r>
          </w:p>
          <w:p w:rsidR="007D00C5" w:rsidRDefault="00776095" w:rsidP="00D136EE">
            <w:pPr>
              <w:rPr>
                <w:rFonts w:ascii="Cambria" w:hAnsi="Cambria"/>
                <w:lang w:bidi="ar-EG"/>
              </w:rPr>
            </w:pPr>
            <w:r>
              <w:rPr>
                <w:rFonts w:ascii="Cambria" w:hAnsi="Cambria"/>
                <w:lang w:bidi="ar-EG"/>
              </w:rPr>
              <w:t xml:space="preserve">MLA, 2009. Print. </w:t>
            </w:r>
          </w:p>
          <w:p w:rsidR="00D136EE" w:rsidRPr="00801423" w:rsidRDefault="00D136EE" w:rsidP="00D136EE">
            <w:pPr>
              <w:rPr>
                <w:rFonts w:ascii="Cambria" w:hAnsi="Cambria"/>
                <w:lang w:bidi="ar-EG"/>
              </w:rPr>
            </w:pPr>
            <w:r w:rsidRPr="00D136EE">
              <w:rPr>
                <w:rFonts w:ascii="Cambria" w:hAnsi="Cambria"/>
                <w:lang w:bidi="ar-EG"/>
              </w:rPr>
              <w:t xml:space="preserve">Brown. J.R. </w:t>
            </w:r>
            <w:r w:rsidRPr="00801423">
              <w:rPr>
                <w:rFonts w:ascii="Cambria" w:hAnsi="Cambria"/>
                <w:lang w:bidi="ar-EG"/>
              </w:rPr>
              <w:t xml:space="preserve">The Oxford Illustrated History of </w:t>
            </w:r>
          </w:p>
          <w:p w:rsidR="00D136EE" w:rsidRPr="00D136EE" w:rsidRDefault="00D136EE" w:rsidP="00D136EE">
            <w:pPr>
              <w:rPr>
                <w:rFonts w:ascii="Cambria" w:hAnsi="Cambria"/>
                <w:lang w:bidi="ar-EG"/>
              </w:rPr>
            </w:pPr>
            <w:r w:rsidRPr="00801423">
              <w:rPr>
                <w:rFonts w:ascii="Cambria" w:hAnsi="Cambria"/>
                <w:lang w:bidi="ar-EG"/>
              </w:rPr>
              <w:t>Theater</w:t>
            </w:r>
            <w:r w:rsidRPr="00D136EE">
              <w:rPr>
                <w:rFonts w:ascii="Cambria" w:hAnsi="Cambria"/>
                <w:lang w:bidi="ar-EG"/>
              </w:rPr>
              <w:t xml:space="preserve">. Oxford UP. </w:t>
            </w:r>
          </w:p>
          <w:p w:rsidR="00D136EE" w:rsidRPr="00D136EE" w:rsidRDefault="00D136EE" w:rsidP="00D136EE">
            <w:pPr>
              <w:rPr>
                <w:rFonts w:ascii="Cambria" w:hAnsi="Cambria"/>
                <w:lang w:bidi="ar-EG"/>
              </w:rPr>
            </w:pPr>
            <w:r w:rsidRPr="00D136EE">
              <w:rPr>
                <w:rFonts w:ascii="Cambria" w:hAnsi="Cambria"/>
                <w:lang w:bidi="ar-EG"/>
              </w:rPr>
              <w:t xml:space="preserve">-Krasner. D. </w:t>
            </w:r>
            <w:r w:rsidRPr="00801423">
              <w:rPr>
                <w:rFonts w:ascii="Cambria" w:hAnsi="Cambria"/>
                <w:i/>
                <w:iCs/>
                <w:lang w:bidi="ar-EG"/>
              </w:rPr>
              <w:t>Theater in Theory 1900-2000: An Anthology</w:t>
            </w:r>
            <w:r w:rsidRPr="00D136EE">
              <w:rPr>
                <w:rFonts w:ascii="Cambria" w:hAnsi="Cambria"/>
                <w:lang w:bidi="ar-EG"/>
              </w:rPr>
              <w:t xml:space="preserve">. </w:t>
            </w:r>
          </w:p>
          <w:p w:rsidR="00D136EE" w:rsidRPr="003D296F" w:rsidRDefault="00D136EE" w:rsidP="00D136EE">
            <w:pPr>
              <w:rPr>
                <w:rFonts w:ascii="Cambria" w:hAnsi="Cambria"/>
                <w:lang w:bidi="ar-EG"/>
              </w:rPr>
            </w:pPr>
            <w:r w:rsidRPr="00D136EE">
              <w:rPr>
                <w:rFonts w:ascii="Cambria" w:hAnsi="Cambria"/>
                <w:lang w:bidi="ar-EG"/>
              </w:rPr>
              <w:t xml:space="preserve">Brook, P. </w:t>
            </w:r>
            <w:r w:rsidRPr="00801423">
              <w:rPr>
                <w:rFonts w:ascii="Cambria" w:hAnsi="Cambria"/>
                <w:i/>
                <w:iCs/>
                <w:lang w:bidi="ar-EG"/>
              </w:rPr>
              <w:t>The Empty Space</w:t>
            </w:r>
            <w:r w:rsidRPr="00D136EE">
              <w:rPr>
                <w:rFonts w:ascii="Cambria" w:hAnsi="Cambria"/>
                <w:lang w:bidi="ar-EG"/>
              </w:rPr>
              <w:t>. Penguin Classics</w:t>
            </w:r>
          </w:p>
          <w:p w:rsidR="007D00C5" w:rsidRDefault="007D00C5">
            <w:pPr>
              <w:pStyle w:val="TableGrid1"/>
            </w:pPr>
            <w:bookmarkStart w:id="1" w:name="_GoBack"/>
            <w:bookmarkEnd w:id="1"/>
          </w:p>
        </w:tc>
      </w:tr>
    </w:tbl>
    <w:p w:rsidR="007D00C5" w:rsidRDefault="007D00C5">
      <w:pPr>
        <w:pStyle w:val="FreeFormA"/>
        <w:rPr>
          <w:b/>
        </w:rPr>
      </w:pPr>
    </w:p>
    <w:p w:rsidR="007D00C5" w:rsidRDefault="007D00C5">
      <w:pPr>
        <w:rPr>
          <w:b/>
        </w:rPr>
      </w:pPr>
    </w:p>
    <w:p w:rsidR="007D00C5" w:rsidRDefault="007D00C5">
      <w:pPr>
        <w:rPr>
          <w:b/>
        </w:rPr>
      </w:pPr>
      <w:r>
        <w:rPr>
          <w:b/>
        </w:rPr>
        <w:t>Methods of assessment:</w:t>
      </w:r>
    </w:p>
    <w:p w:rsidR="007D00C5" w:rsidRDefault="007D00C5">
      <w:pPr>
        <w:rPr>
          <w:b/>
        </w:rPr>
      </w:pPr>
    </w:p>
    <w:tbl>
      <w:tblPr>
        <w:tblW w:w="10186" w:type="dxa"/>
        <w:tblInd w:w="829" w:type="dxa"/>
        <w:tblLayout w:type="fixed"/>
        <w:tblLook w:val="0000" w:firstRow="0" w:lastRow="0" w:firstColumn="0" w:lastColumn="0" w:noHBand="0" w:noVBand="0"/>
      </w:tblPr>
      <w:tblGrid>
        <w:gridCol w:w="3234"/>
        <w:gridCol w:w="2811"/>
        <w:gridCol w:w="1881"/>
        <w:gridCol w:w="2260"/>
      </w:tblGrid>
      <w:tr w:rsidR="007D00C5">
        <w:trPr>
          <w:cantSplit/>
          <w:trHeight w:val="45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Type</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Distribution</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Due Date</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rsidR="007D00C5" w:rsidRDefault="007D00C5">
            <w:pPr>
              <w:pStyle w:val="TableGrid1"/>
              <w:rPr>
                <w:b/>
              </w:rPr>
            </w:pPr>
            <w:r>
              <w:rPr>
                <w:b/>
              </w:rPr>
              <w:t>Approximate Feedback Date</w:t>
            </w:r>
          </w:p>
        </w:tc>
      </w:tr>
      <w:tr w:rsidR="007D00C5">
        <w:trPr>
          <w:cantSplit/>
          <w:trHeight w:val="45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pPr>
            <w:r>
              <w:t>1 Mid-term Exam</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pPr>
            <w:r>
              <w:t>20 marks</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1962EB" w:rsidP="007D00C5">
            <w:pPr>
              <w:pStyle w:val="TableGrid1"/>
              <w:tabs>
                <w:tab w:val="center" w:pos="1761"/>
              </w:tabs>
            </w:pPr>
            <w:r>
              <w:t>Week 10</w:t>
            </w:r>
            <w:r w:rsidR="007D00C5">
              <w:tab/>
            </w:r>
          </w:p>
        </w:tc>
        <w:tc>
          <w:tcPr>
            <w:tcW w:w="2260" w:type="dxa"/>
            <w:vMerge w:val="restart"/>
            <w:tcBorders>
              <w:top w:val="single" w:sz="4" w:space="0" w:color="000000"/>
              <w:left w:val="single" w:sz="4" w:space="0" w:color="000000"/>
              <w:right w:val="single" w:sz="4" w:space="0" w:color="000000"/>
            </w:tcBorders>
            <w:shd w:val="clear" w:color="auto" w:fill="FFFFFF"/>
          </w:tcPr>
          <w:p w:rsidR="007D00C5" w:rsidRDefault="007D00C5" w:rsidP="007D00C5">
            <w:pPr>
              <w:pStyle w:val="TableGrid1"/>
              <w:tabs>
                <w:tab w:val="center" w:pos="1761"/>
              </w:tabs>
            </w:pPr>
            <w:r>
              <w:t xml:space="preserve">Feedbacks will be given after </w:t>
            </w:r>
            <w:r w:rsidRPr="00BD0F05">
              <w:rPr>
                <w:i/>
                <w:u w:val="single"/>
              </w:rPr>
              <w:t>one week</w:t>
            </w:r>
            <w:r>
              <w:t xml:space="preserve"> from the date of the assessment. </w:t>
            </w:r>
          </w:p>
        </w:tc>
      </w:tr>
      <w:tr w:rsidR="007D00C5">
        <w:trPr>
          <w:cantSplit/>
          <w:trHeight w:val="45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pPr>
            <w:r>
              <w:t xml:space="preserve"> </w:t>
            </w:r>
            <w:r w:rsidR="00316462">
              <w:t>2</w:t>
            </w:r>
            <w:r w:rsidR="007A478D">
              <w:t xml:space="preserve"> </w:t>
            </w:r>
            <w:r w:rsidR="00776095">
              <w:t>Quizzes</w:t>
            </w:r>
            <w:r>
              <w:t xml:space="preserve"> </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pPr>
            <w:r>
              <w:t>10 marks</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1962EB" w:rsidP="007D00C5">
            <w:pPr>
              <w:pStyle w:val="TableGrid1"/>
              <w:tabs>
                <w:tab w:val="center" w:pos="1761"/>
              </w:tabs>
            </w:pPr>
            <w:r>
              <w:t>Week 5</w:t>
            </w:r>
            <w:r w:rsidR="00776095">
              <w:t xml:space="preserve"> &amp; 8</w:t>
            </w:r>
            <w:r w:rsidR="007D00C5">
              <w:tab/>
            </w:r>
          </w:p>
        </w:tc>
        <w:tc>
          <w:tcPr>
            <w:tcW w:w="2260" w:type="dxa"/>
            <w:vMerge/>
            <w:tcBorders>
              <w:left w:val="single" w:sz="4" w:space="0" w:color="000000"/>
              <w:right w:val="single" w:sz="4" w:space="0" w:color="000000"/>
            </w:tcBorders>
            <w:shd w:val="clear" w:color="auto" w:fill="FFFFFF"/>
          </w:tcPr>
          <w:p w:rsidR="007D00C5" w:rsidRDefault="007D00C5" w:rsidP="007D00C5">
            <w:pPr>
              <w:pStyle w:val="TableGrid1"/>
              <w:tabs>
                <w:tab w:val="center" w:pos="1761"/>
              </w:tabs>
            </w:pPr>
          </w:p>
        </w:tc>
      </w:tr>
      <w:tr w:rsidR="007D00C5">
        <w:trPr>
          <w:cantSplit/>
          <w:trHeight w:val="45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A478D">
            <w:pPr>
              <w:pStyle w:val="TableGrid1"/>
            </w:pPr>
            <w:r>
              <w:t xml:space="preserve">An </w:t>
            </w:r>
            <w:r w:rsidR="00891952">
              <w:t>Oral Presentation</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A478D">
            <w:pPr>
              <w:pStyle w:val="TableGrid1"/>
            </w:pPr>
            <w:r>
              <w:t>5</w:t>
            </w:r>
            <w:r w:rsidR="007D00C5">
              <w:t xml:space="preserve"> marks</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76095" w:rsidP="007D00C5">
            <w:pPr>
              <w:pStyle w:val="TableGrid1"/>
              <w:tabs>
                <w:tab w:val="center" w:pos="1761"/>
              </w:tabs>
            </w:pPr>
            <w:r>
              <w:t xml:space="preserve">Week </w:t>
            </w:r>
            <w:r w:rsidR="006B5720">
              <w:t>11</w:t>
            </w:r>
            <w:r>
              <w:t xml:space="preserve"> &amp;</w:t>
            </w:r>
            <w:r w:rsidR="006B5720">
              <w:t>12</w:t>
            </w:r>
            <w:r w:rsidR="007D00C5">
              <w:tab/>
            </w:r>
          </w:p>
        </w:tc>
        <w:tc>
          <w:tcPr>
            <w:tcW w:w="2260" w:type="dxa"/>
            <w:vMerge/>
            <w:tcBorders>
              <w:left w:val="single" w:sz="4" w:space="0" w:color="000000"/>
              <w:right w:val="single" w:sz="4" w:space="0" w:color="000000"/>
            </w:tcBorders>
            <w:shd w:val="clear" w:color="auto" w:fill="FFFFFF"/>
          </w:tcPr>
          <w:p w:rsidR="007D00C5" w:rsidRDefault="007D00C5" w:rsidP="007D00C5">
            <w:pPr>
              <w:pStyle w:val="TableGrid1"/>
              <w:tabs>
                <w:tab w:val="center" w:pos="1761"/>
              </w:tabs>
            </w:pPr>
          </w:p>
        </w:tc>
      </w:tr>
      <w:tr w:rsidR="007D00C5" w:rsidTr="006B5720">
        <w:trPr>
          <w:cantSplit/>
          <w:trHeight w:val="424"/>
        </w:trPr>
        <w:tc>
          <w:tcPr>
            <w:tcW w:w="323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D00C5" w:rsidRDefault="007A478D">
            <w:pPr>
              <w:pStyle w:val="TableGrid1"/>
            </w:pPr>
            <w:r>
              <w:t>2</w:t>
            </w:r>
            <w:r w:rsidR="00B6523D">
              <w:t xml:space="preserve"> </w:t>
            </w:r>
            <w:r w:rsidR="007D00C5">
              <w:t xml:space="preserve">Assignments </w:t>
            </w:r>
          </w:p>
          <w:p w:rsidR="007A478D" w:rsidRDefault="007A478D">
            <w:pPr>
              <w:pStyle w:val="TableGrid1"/>
            </w:pPr>
          </w:p>
        </w:tc>
        <w:tc>
          <w:tcPr>
            <w:tcW w:w="281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D00C5" w:rsidRDefault="007A478D">
            <w:pPr>
              <w:pStyle w:val="TableGrid1"/>
            </w:pPr>
            <w:r>
              <w:t xml:space="preserve">10 </w:t>
            </w:r>
            <w:r w:rsidR="007D00C5">
              <w:t>marks</w:t>
            </w:r>
          </w:p>
          <w:p w:rsidR="007A478D" w:rsidRDefault="007A478D">
            <w:pPr>
              <w:pStyle w:val="TableGrid1"/>
            </w:pPr>
          </w:p>
        </w:tc>
        <w:tc>
          <w:tcPr>
            <w:tcW w:w="188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6B5720" w:rsidRDefault="00B6523D" w:rsidP="006B5720">
            <w:pPr>
              <w:pStyle w:val="TableGrid1"/>
            </w:pPr>
            <w:r>
              <w:t>Throughout</w:t>
            </w:r>
            <w:r w:rsidR="006B5720">
              <w:t xml:space="preserve"> </w:t>
            </w:r>
            <w:r>
              <w:t xml:space="preserve"> </w:t>
            </w:r>
            <w:r w:rsidR="006B5720">
              <w:t>t</w:t>
            </w:r>
            <w:r>
              <w:t>he semester</w:t>
            </w:r>
          </w:p>
        </w:tc>
        <w:tc>
          <w:tcPr>
            <w:tcW w:w="2260" w:type="dxa"/>
            <w:vMerge/>
            <w:tcBorders>
              <w:left w:val="single" w:sz="4" w:space="0" w:color="000000"/>
              <w:bottom w:val="single" w:sz="4" w:space="0" w:color="auto"/>
              <w:right w:val="single" w:sz="4" w:space="0" w:color="000000"/>
            </w:tcBorders>
            <w:shd w:val="clear" w:color="auto" w:fill="FFFFFF"/>
          </w:tcPr>
          <w:p w:rsidR="007D00C5" w:rsidRDefault="007D00C5">
            <w:pPr>
              <w:pStyle w:val="TableGrid1"/>
            </w:pPr>
          </w:p>
        </w:tc>
      </w:tr>
      <w:tr w:rsidR="006B5720" w:rsidTr="006B5720">
        <w:trPr>
          <w:cantSplit/>
          <w:trHeight w:val="671"/>
        </w:trPr>
        <w:tc>
          <w:tcPr>
            <w:tcW w:w="3234"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720" w:rsidRDefault="006B5720">
            <w:pPr>
              <w:pStyle w:val="TableGrid1"/>
            </w:pPr>
            <w:r>
              <w:t>A research Paper</w:t>
            </w:r>
          </w:p>
          <w:p w:rsidR="006B5720" w:rsidRDefault="006B5720" w:rsidP="006B5720">
            <w:pPr>
              <w:pStyle w:val="TableGrid1"/>
            </w:pPr>
          </w:p>
        </w:tc>
        <w:tc>
          <w:tcPr>
            <w:tcW w:w="281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720" w:rsidRDefault="006B5720" w:rsidP="006B5720">
            <w:pPr>
              <w:pStyle w:val="TableGrid1"/>
            </w:pPr>
            <w:r>
              <w:t>15 marks</w:t>
            </w:r>
          </w:p>
        </w:tc>
        <w:tc>
          <w:tcPr>
            <w:tcW w:w="188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720" w:rsidRDefault="006B5720" w:rsidP="006B5720">
            <w:pPr>
              <w:pStyle w:val="TableGrid1"/>
            </w:pPr>
            <w:r>
              <w:t>Week 12</w:t>
            </w:r>
          </w:p>
        </w:tc>
        <w:tc>
          <w:tcPr>
            <w:tcW w:w="2260" w:type="dxa"/>
            <w:tcBorders>
              <w:top w:val="single" w:sz="4" w:space="0" w:color="auto"/>
              <w:left w:val="single" w:sz="4" w:space="0" w:color="000000"/>
              <w:bottom w:val="single" w:sz="4" w:space="0" w:color="000000"/>
              <w:right w:val="single" w:sz="4" w:space="0" w:color="000000"/>
            </w:tcBorders>
            <w:shd w:val="clear" w:color="auto" w:fill="FFFFFF"/>
          </w:tcPr>
          <w:p w:rsidR="006B5720" w:rsidRDefault="006B5720" w:rsidP="007D00C5">
            <w:pPr>
              <w:pStyle w:val="TableGrid1"/>
              <w:tabs>
                <w:tab w:val="center" w:pos="1761"/>
              </w:tabs>
            </w:pPr>
          </w:p>
        </w:tc>
      </w:tr>
      <w:tr w:rsidR="007D00C5">
        <w:trPr>
          <w:cantSplit/>
          <w:trHeight w:val="45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Final Exam</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r>
              <w:rPr>
                <w:b/>
              </w:rPr>
              <w:t>40%</w:t>
            </w:r>
          </w:p>
        </w:tc>
        <w:tc>
          <w:tcPr>
            <w:tcW w:w="41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pPr>
          </w:p>
        </w:tc>
      </w:tr>
      <w:tr w:rsidR="007D00C5">
        <w:trPr>
          <w:cantSplit/>
          <w:trHeight w:val="450"/>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rPr>
                <w:b/>
              </w:rPr>
            </w:pPr>
          </w:p>
          <w:p w:rsidR="007D00C5" w:rsidRDefault="007D00C5">
            <w:pPr>
              <w:pStyle w:val="TableGrid1"/>
              <w:rPr>
                <w:b/>
              </w:rPr>
            </w:pPr>
          </w:p>
          <w:p w:rsidR="007D00C5" w:rsidRPr="007A478D" w:rsidRDefault="007D00C5">
            <w:pPr>
              <w:pStyle w:val="TableGrid1"/>
              <w:rPr>
                <w:bCs/>
              </w:rPr>
            </w:pPr>
            <w:r>
              <w:rPr>
                <w:b/>
              </w:rPr>
              <w:t xml:space="preserve">Make up exams: </w:t>
            </w:r>
            <w:r w:rsidRPr="007A478D">
              <w:rPr>
                <w:bCs/>
              </w:rPr>
              <w:t xml:space="preserve">there will be one make-up exam for students who provide </w:t>
            </w:r>
            <w:r w:rsidRPr="007A478D">
              <w:rPr>
                <w:b/>
              </w:rPr>
              <w:t>an official medical excuse</w:t>
            </w:r>
            <w:r w:rsidR="006B5720">
              <w:rPr>
                <w:bCs/>
              </w:rPr>
              <w:t xml:space="preserve">. An accumulative </w:t>
            </w:r>
            <w:r w:rsidRPr="007A478D">
              <w:rPr>
                <w:bCs/>
              </w:rPr>
              <w:t xml:space="preserve">exam will be conducted during the review week. </w:t>
            </w:r>
          </w:p>
          <w:p w:rsidR="007D00C5" w:rsidRPr="007A478D" w:rsidRDefault="007D00C5">
            <w:pPr>
              <w:pStyle w:val="TableGrid1"/>
              <w:rPr>
                <w:bCs/>
              </w:rPr>
            </w:pPr>
            <w:r w:rsidRPr="007A478D">
              <w:rPr>
                <w:bCs/>
              </w:rPr>
              <w:t xml:space="preserve">There will be </w:t>
            </w:r>
            <w:r w:rsidRPr="007A478D">
              <w:rPr>
                <w:b/>
              </w:rPr>
              <w:t>NO make up</w:t>
            </w:r>
            <w:r w:rsidRPr="007A478D">
              <w:rPr>
                <w:bCs/>
              </w:rPr>
              <w:t xml:space="preserve"> for quizzes</w:t>
            </w:r>
            <w:r w:rsidR="006B5720">
              <w:rPr>
                <w:bCs/>
              </w:rPr>
              <w:t>, presentations,</w:t>
            </w:r>
            <w:r w:rsidRPr="007A478D">
              <w:rPr>
                <w:bCs/>
              </w:rPr>
              <w:t xml:space="preserve"> or assignments. </w:t>
            </w:r>
          </w:p>
          <w:p w:rsidR="007D00C5" w:rsidRPr="007A478D" w:rsidRDefault="007D00C5">
            <w:pPr>
              <w:pStyle w:val="TableGrid1"/>
              <w:rPr>
                <w:bCs/>
              </w:rPr>
            </w:pPr>
            <w:r w:rsidRPr="007A478D">
              <w:rPr>
                <w:bCs/>
              </w:rPr>
              <w:t xml:space="preserve"> </w:t>
            </w:r>
          </w:p>
          <w:p w:rsidR="007D00C5" w:rsidRDefault="007D00C5" w:rsidP="007D00C5">
            <w:pPr>
              <w:pStyle w:val="TableGrid1"/>
              <w:rPr>
                <w:b/>
              </w:rPr>
            </w:pPr>
          </w:p>
        </w:tc>
      </w:tr>
    </w:tbl>
    <w:p w:rsidR="007D00C5" w:rsidRPr="00B77404" w:rsidRDefault="007D00C5">
      <w:pPr>
        <w:rPr>
          <w:rFonts w:ascii="Calibri" w:hAnsi="Calibri"/>
          <w:b/>
        </w:rPr>
      </w:pPr>
    </w:p>
    <w:p w:rsidR="007D00C5" w:rsidRDefault="007D00C5">
      <w:pPr>
        <w:rPr>
          <w:b/>
        </w:rPr>
      </w:pPr>
    </w:p>
    <w:p w:rsidR="007D00C5" w:rsidRDefault="007D00C5">
      <w:pPr>
        <w:rPr>
          <w:b/>
        </w:rPr>
      </w:pPr>
    </w:p>
    <w:p w:rsidR="007D00C5" w:rsidRDefault="007D00C5">
      <w:pPr>
        <w:rPr>
          <w:b/>
        </w:rPr>
      </w:pPr>
      <w:r>
        <w:rPr>
          <w:b/>
        </w:rPr>
        <w:t>Weekly Syllabus:</w:t>
      </w:r>
    </w:p>
    <w:p w:rsidR="007D00C5" w:rsidRDefault="007D00C5">
      <w:pPr>
        <w:rPr>
          <w:b/>
        </w:rPr>
      </w:pPr>
    </w:p>
    <w:tbl>
      <w:tblPr>
        <w:tblW w:w="0" w:type="auto"/>
        <w:tblInd w:w="5" w:type="dxa"/>
        <w:tblLayout w:type="fixed"/>
        <w:tblLook w:val="0000" w:firstRow="0" w:lastRow="0" w:firstColumn="0" w:lastColumn="0" w:noHBand="0" w:noVBand="0"/>
      </w:tblPr>
      <w:tblGrid>
        <w:gridCol w:w="1114"/>
        <w:gridCol w:w="7746"/>
      </w:tblGrid>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jc w:val="center"/>
              <w:rPr>
                <w:b/>
              </w:rPr>
            </w:pPr>
            <w:r>
              <w:rPr>
                <w:b/>
              </w:rPr>
              <w:t>Week</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jc w:val="center"/>
              <w:rPr>
                <w:b/>
              </w:rPr>
            </w:pPr>
            <w:r>
              <w:rPr>
                <w:b/>
              </w:rPr>
              <w:t>Topic</w:t>
            </w:r>
          </w:p>
        </w:tc>
      </w:tr>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jc w:val="center"/>
              <w:rPr>
                <w:b/>
              </w:rPr>
            </w:pPr>
            <w:r>
              <w:rPr>
                <w:b/>
              </w:rPr>
              <w:t>1</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jc w:val="center"/>
            </w:pPr>
            <w:r>
              <w:t>Introduction to the course</w:t>
            </w:r>
          </w:p>
        </w:tc>
      </w:tr>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jc w:val="center"/>
              <w:rPr>
                <w:b/>
              </w:rPr>
            </w:pPr>
            <w:r>
              <w:rPr>
                <w:b/>
              </w:rPr>
              <w:t>2</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Pr="003D296F" w:rsidRDefault="007D00C5" w:rsidP="007D00C5">
            <w:pPr>
              <w:spacing w:line="216" w:lineRule="auto"/>
              <w:rPr>
                <w:rFonts w:ascii="Cambria" w:hAnsi="Cambria"/>
                <w:lang w:bidi="ar-EG"/>
              </w:rPr>
            </w:pPr>
          </w:p>
          <w:p w:rsidR="007D00C5" w:rsidRPr="003D296F" w:rsidRDefault="007A478D" w:rsidP="007D00C5">
            <w:pPr>
              <w:spacing w:line="216" w:lineRule="auto"/>
              <w:rPr>
                <w:rFonts w:ascii="Cambria" w:hAnsi="Cambria"/>
                <w:lang w:bidi="ar-EG"/>
              </w:rPr>
            </w:pPr>
            <w:r w:rsidRPr="007A478D">
              <w:rPr>
                <w:rFonts w:ascii="Cambria" w:hAnsi="Cambria"/>
                <w:lang w:bidi="ar-EG"/>
              </w:rPr>
              <w:t>Introduction to drama: theatre and audience; why is drama different from other literary and artistic genres. An introduction to dramatic terminology</w:t>
            </w:r>
          </w:p>
        </w:tc>
      </w:tr>
      <w:tr w:rsidR="007D00C5">
        <w:trPr>
          <w:cantSplit/>
          <w:trHeight w:val="413"/>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pPr>
              <w:pStyle w:val="TableGrid1"/>
              <w:jc w:val="center"/>
              <w:rPr>
                <w:b/>
              </w:rPr>
            </w:pPr>
            <w:r>
              <w:rPr>
                <w:b/>
              </w:rPr>
              <w:t>3</w:t>
            </w:r>
            <w:r w:rsidR="00776095">
              <w:rPr>
                <w:b/>
              </w:rPr>
              <w:t xml:space="preserve"> &amp; 4</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A478D" w:rsidP="00776095">
            <w:pPr>
              <w:pStyle w:val="TableGrid1"/>
              <w:jc w:val="center"/>
            </w:pPr>
            <w:r w:rsidRPr="007A478D">
              <w:t>The Classical Beginnings: Structure of ancient Greek drama, Aristotle</w:t>
            </w:r>
            <w:r w:rsidRPr="007A478D">
              <w:rPr>
                <w:rFonts w:hint="cs"/>
              </w:rPr>
              <w:t>’</w:t>
            </w:r>
            <w:r w:rsidRPr="007A478D">
              <w:t xml:space="preserve">s views on drama, Tragedy and Comedy </w:t>
            </w:r>
          </w:p>
        </w:tc>
      </w:tr>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76095">
            <w:pPr>
              <w:pStyle w:val="TableGrid1"/>
              <w:jc w:val="center"/>
              <w:rPr>
                <w:b/>
              </w:rPr>
            </w:pPr>
            <w:r>
              <w:rPr>
                <w:b/>
              </w:rPr>
              <w:lastRenderedPageBreak/>
              <w:t>5</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A478D">
            <w:pPr>
              <w:pStyle w:val="TableGrid1"/>
              <w:jc w:val="center"/>
            </w:pPr>
            <w:r w:rsidRPr="00954725">
              <w:t xml:space="preserve">A presentation of the BBC production of </w:t>
            </w:r>
            <w:r w:rsidRPr="00954725">
              <w:rPr>
                <w:i/>
                <w:iCs/>
              </w:rPr>
              <w:t>Oedipus the King</w:t>
            </w:r>
            <w:r w:rsidRPr="00954725">
              <w:t>, followed by a discussion of the relevance of technical terms studied earlier, and also a textual and critical analysis of the play</w:t>
            </w:r>
          </w:p>
          <w:p w:rsidR="00776095" w:rsidRPr="00B833B1" w:rsidRDefault="00776095">
            <w:pPr>
              <w:pStyle w:val="TableGrid1"/>
              <w:jc w:val="center"/>
              <w:rPr>
                <w:b/>
                <w:bCs/>
                <w:i/>
                <w:iCs/>
              </w:rPr>
            </w:pPr>
            <w:r w:rsidRPr="00B833B1">
              <w:rPr>
                <w:b/>
                <w:bCs/>
                <w:i/>
                <w:iCs/>
              </w:rPr>
              <w:t>1</w:t>
            </w:r>
            <w:r w:rsidRPr="00B833B1">
              <w:rPr>
                <w:b/>
                <w:bCs/>
                <w:i/>
                <w:iCs/>
                <w:vertAlign w:val="superscript"/>
              </w:rPr>
              <w:t>st</w:t>
            </w:r>
            <w:r w:rsidRPr="00B833B1">
              <w:rPr>
                <w:b/>
                <w:bCs/>
                <w:i/>
                <w:iCs/>
              </w:rPr>
              <w:t xml:space="preserve"> Quiz</w:t>
            </w:r>
          </w:p>
        </w:tc>
      </w:tr>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0251FA">
            <w:pPr>
              <w:pStyle w:val="TableGrid1"/>
              <w:jc w:val="center"/>
              <w:rPr>
                <w:b/>
              </w:rPr>
            </w:pPr>
            <w:r>
              <w:rPr>
                <w:b/>
              </w:rPr>
              <w:t>6</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3B1" w:rsidRDefault="00954725" w:rsidP="00954725">
            <w:pPr>
              <w:pStyle w:val="TableGrid1"/>
              <w:jc w:val="center"/>
            </w:pPr>
            <w:r w:rsidRPr="000251FA">
              <w:t xml:space="preserve">An introduction to the Renaissance Period, and revival of the classical spirit </w:t>
            </w:r>
          </w:p>
          <w:p w:rsidR="007D00C5" w:rsidRPr="00B833B1" w:rsidRDefault="00B833B1" w:rsidP="00954725">
            <w:pPr>
              <w:pStyle w:val="TableGrid1"/>
              <w:jc w:val="center"/>
              <w:rPr>
                <w:b/>
                <w:bCs/>
              </w:rPr>
            </w:pPr>
            <w:r w:rsidRPr="00B833B1">
              <w:rPr>
                <w:b/>
                <w:bCs/>
              </w:rPr>
              <w:t>1</w:t>
            </w:r>
            <w:r w:rsidRPr="00B833B1">
              <w:rPr>
                <w:b/>
                <w:bCs/>
                <w:vertAlign w:val="superscript"/>
              </w:rPr>
              <w:t>st</w:t>
            </w:r>
            <w:r w:rsidRPr="00B833B1">
              <w:rPr>
                <w:b/>
                <w:bCs/>
              </w:rPr>
              <w:t xml:space="preserve"> Assignment</w:t>
            </w:r>
            <w:r w:rsidR="00891952" w:rsidRPr="00B833B1">
              <w:rPr>
                <w:b/>
                <w:bCs/>
              </w:rPr>
              <w:t xml:space="preserve"> </w:t>
            </w:r>
          </w:p>
        </w:tc>
      </w:tr>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0251FA">
            <w:pPr>
              <w:pStyle w:val="TableGrid1"/>
              <w:jc w:val="center"/>
              <w:rPr>
                <w:b/>
              </w:rPr>
            </w:pPr>
            <w:r>
              <w:rPr>
                <w:b/>
              </w:rPr>
              <w:t>7 &amp; 8</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1DEB" w:rsidRPr="00B61DEB" w:rsidRDefault="00954725" w:rsidP="00B61DEB">
            <w:pPr>
              <w:pStyle w:val="TableGrid1"/>
              <w:jc w:val="center"/>
            </w:pPr>
            <w:r w:rsidRPr="00B61DEB">
              <w:t>An analytical and critical analysis of Christopher Marlowe</w:t>
            </w:r>
            <w:r w:rsidRPr="00B61DEB">
              <w:rPr>
                <w:rFonts w:hint="cs"/>
              </w:rPr>
              <w:t>’</w:t>
            </w:r>
            <w:r w:rsidRPr="00B61DEB">
              <w:t xml:space="preserve">s </w:t>
            </w:r>
            <w:r w:rsidRPr="00B61DEB">
              <w:rPr>
                <w:i/>
                <w:iCs/>
              </w:rPr>
              <w:t>Dr Faustus</w:t>
            </w:r>
            <w:r w:rsidRPr="00B61DEB">
              <w:t xml:space="preserve"> as a major representative of the Renaissance </w:t>
            </w:r>
            <w:r w:rsidR="00FD76D8" w:rsidRPr="00B61DEB">
              <w:t>spirit Shakespeare’s</w:t>
            </w:r>
            <w:r w:rsidRPr="00B61DEB">
              <w:t xml:space="preserve"> influence on drama. </w:t>
            </w:r>
          </w:p>
          <w:p w:rsidR="007D00C5" w:rsidRPr="00B833B1" w:rsidRDefault="00FD76D8">
            <w:pPr>
              <w:pStyle w:val="TableGrid1"/>
              <w:jc w:val="center"/>
              <w:rPr>
                <w:b/>
                <w:bCs/>
                <w:i/>
                <w:iCs/>
              </w:rPr>
            </w:pPr>
            <w:r w:rsidRPr="00B833B1">
              <w:rPr>
                <w:b/>
                <w:bCs/>
                <w:i/>
                <w:iCs/>
              </w:rPr>
              <w:t xml:space="preserve">Midterm </w:t>
            </w:r>
          </w:p>
        </w:tc>
      </w:tr>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7D00C5" w:rsidP="00FD76D8">
            <w:pPr>
              <w:pStyle w:val="TableGrid1"/>
              <w:jc w:val="center"/>
              <w:rPr>
                <w:b/>
              </w:rPr>
            </w:pPr>
            <w:r>
              <w:rPr>
                <w:b/>
              </w:rPr>
              <w:t>9</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76D8" w:rsidRDefault="00404ED9" w:rsidP="00FD76D8">
            <w:pPr>
              <w:pStyle w:val="TableGrid1"/>
              <w:jc w:val="center"/>
            </w:pPr>
            <w:r w:rsidRPr="00404ED9">
              <w:t>The Restoration Period and the symptoms of political, social and cultural change</w:t>
            </w:r>
          </w:p>
          <w:p w:rsidR="00FD76D8" w:rsidRPr="00B833B1" w:rsidRDefault="00FD76D8" w:rsidP="00FD76D8">
            <w:pPr>
              <w:pStyle w:val="TableGrid1"/>
              <w:jc w:val="center"/>
              <w:rPr>
                <w:b/>
                <w:bCs/>
                <w:i/>
                <w:iCs/>
              </w:rPr>
            </w:pPr>
            <w:r w:rsidRPr="00B833B1">
              <w:rPr>
                <w:b/>
                <w:bCs/>
                <w:i/>
                <w:iCs/>
              </w:rPr>
              <w:t>2</w:t>
            </w:r>
            <w:r w:rsidRPr="00B833B1">
              <w:rPr>
                <w:b/>
                <w:bCs/>
                <w:i/>
                <w:iCs/>
                <w:vertAlign w:val="superscript"/>
              </w:rPr>
              <w:t>nd</w:t>
            </w:r>
            <w:r w:rsidRPr="00B833B1">
              <w:rPr>
                <w:b/>
                <w:bCs/>
                <w:i/>
                <w:iCs/>
              </w:rPr>
              <w:t xml:space="preserve"> Quiz</w:t>
            </w:r>
          </w:p>
          <w:p w:rsidR="00FD76D8" w:rsidRPr="00404ED9" w:rsidRDefault="00FD76D8" w:rsidP="00FD76D8">
            <w:pPr>
              <w:pStyle w:val="TableGrid1"/>
              <w:jc w:val="center"/>
            </w:pPr>
          </w:p>
        </w:tc>
      </w:tr>
      <w:tr w:rsidR="00FD76D8">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76D8" w:rsidRDefault="00FD76D8" w:rsidP="00FD76D8">
            <w:pPr>
              <w:pStyle w:val="TableGrid1"/>
              <w:jc w:val="center"/>
              <w:rPr>
                <w:b/>
              </w:rPr>
            </w:pPr>
          </w:p>
          <w:p w:rsidR="00B833B1" w:rsidRDefault="00B833B1" w:rsidP="00FD76D8">
            <w:pPr>
              <w:pStyle w:val="TableGrid1"/>
              <w:jc w:val="center"/>
              <w:rPr>
                <w:b/>
              </w:rPr>
            </w:pPr>
            <w:r>
              <w:rPr>
                <w:b/>
              </w:rPr>
              <w:t>10</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76D8" w:rsidRDefault="00FD76D8" w:rsidP="00B833B1">
            <w:pPr>
              <w:pStyle w:val="TableGrid1"/>
              <w:jc w:val="center"/>
            </w:pPr>
            <w:r>
              <w:t xml:space="preserve">   A</w:t>
            </w:r>
            <w:r w:rsidRPr="00FD76D8">
              <w:t xml:space="preserve"> critical and textual analysis of a play as a representative of the age. Etherege</w:t>
            </w:r>
            <w:r w:rsidRPr="00FD76D8">
              <w:rPr>
                <w:rFonts w:hint="cs"/>
              </w:rPr>
              <w:t>’</w:t>
            </w:r>
            <w:r w:rsidRPr="00FD76D8">
              <w:t xml:space="preserve">s </w:t>
            </w:r>
            <w:r w:rsidRPr="00FD76D8">
              <w:rPr>
                <w:i/>
                <w:iCs/>
              </w:rPr>
              <w:t>She Would if She Could</w:t>
            </w:r>
          </w:p>
          <w:p w:rsidR="00FD76D8" w:rsidRPr="00B833B1" w:rsidRDefault="00FD76D8" w:rsidP="00FD76D8">
            <w:pPr>
              <w:pStyle w:val="TableGrid1"/>
              <w:jc w:val="center"/>
              <w:rPr>
                <w:b/>
                <w:bCs/>
                <w:i/>
                <w:iCs/>
              </w:rPr>
            </w:pPr>
            <w:r w:rsidRPr="00B833B1">
              <w:rPr>
                <w:b/>
                <w:bCs/>
                <w:i/>
                <w:iCs/>
              </w:rPr>
              <w:t>2nd Assignment</w:t>
            </w:r>
          </w:p>
        </w:tc>
      </w:tr>
      <w:tr w:rsidR="00FD76D8">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76D8" w:rsidRDefault="00B833B1" w:rsidP="00FD76D8">
            <w:pPr>
              <w:pStyle w:val="TableGrid1"/>
              <w:jc w:val="center"/>
              <w:rPr>
                <w:b/>
              </w:rPr>
            </w:pPr>
            <w:r>
              <w:rPr>
                <w:b/>
              </w:rPr>
              <w:t>11</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76D8" w:rsidRDefault="00B833B1" w:rsidP="00FD76D8">
            <w:pPr>
              <w:pStyle w:val="TableGrid1"/>
              <w:jc w:val="center"/>
            </w:pPr>
            <w:r>
              <w:t>Discussion of content and structure</w:t>
            </w:r>
          </w:p>
          <w:p w:rsidR="00B833B1" w:rsidRDefault="00B833B1" w:rsidP="00FD76D8">
            <w:pPr>
              <w:pStyle w:val="TableGrid1"/>
              <w:jc w:val="center"/>
            </w:pPr>
            <w:r>
              <w:t>Main Theatrical Elements</w:t>
            </w:r>
          </w:p>
          <w:p w:rsidR="00B833B1" w:rsidRPr="00404ED9" w:rsidRDefault="00B833B1" w:rsidP="00FD76D8">
            <w:pPr>
              <w:pStyle w:val="TableGrid1"/>
              <w:jc w:val="center"/>
            </w:pPr>
          </w:p>
        </w:tc>
      </w:tr>
      <w:tr w:rsidR="00FD76D8">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76D8" w:rsidRDefault="00FD76D8" w:rsidP="00FD76D8">
            <w:pPr>
              <w:pStyle w:val="TableGrid1"/>
              <w:jc w:val="center"/>
              <w:rPr>
                <w:b/>
              </w:rPr>
            </w:pPr>
          </w:p>
          <w:p w:rsidR="00B833B1" w:rsidRDefault="00B833B1" w:rsidP="00FD76D8">
            <w:pPr>
              <w:pStyle w:val="TableGrid1"/>
              <w:jc w:val="center"/>
              <w:rPr>
                <w:b/>
              </w:rPr>
            </w:pPr>
            <w:r>
              <w:rPr>
                <w:b/>
              </w:rPr>
              <w:t>12</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76D8" w:rsidRDefault="00B833B1" w:rsidP="00FD76D8">
            <w:pPr>
              <w:pStyle w:val="TableGrid1"/>
              <w:jc w:val="center"/>
            </w:pPr>
            <w:r>
              <w:t>The presence of Restoration Theater Elements</w:t>
            </w:r>
          </w:p>
          <w:p w:rsidR="00B833B1" w:rsidRDefault="00B833B1" w:rsidP="00FD76D8">
            <w:pPr>
              <w:pStyle w:val="TableGrid1"/>
              <w:jc w:val="center"/>
            </w:pPr>
            <w:r>
              <w:t>Social and Political significance</w:t>
            </w:r>
          </w:p>
          <w:p w:rsidR="00B833B1" w:rsidRPr="00B833B1" w:rsidRDefault="00B833B1" w:rsidP="00FD76D8">
            <w:pPr>
              <w:pStyle w:val="TableGrid1"/>
              <w:jc w:val="center"/>
              <w:rPr>
                <w:b/>
                <w:bCs/>
              </w:rPr>
            </w:pPr>
            <w:r w:rsidRPr="00B833B1">
              <w:rPr>
                <w:b/>
                <w:bCs/>
              </w:rPr>
              <w:t>Research Paper Due</w:t>
            </w:r>
          </w:p>
        </w:tc>
      </w:tr>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Default="00FD76D8">
            <w:pPr>
              <w:pStyle w:val="TableGrid1"/>
              <w:jc w:val="center"/>
              <w:rPr>
                <w:b/>
              </w:rPr>
            </w:pPr>
            <w:r>
              <w:rPr>
                <w:b/>
              </w:rPr>
              <w:t>13</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720" w:rsidRDefault="00404ED9" w:rsidP="006B5720">
            <w:pPr>
              <w:pStyle w:val="TableGrid1"/>
              <w:jc w:val="center"/>
            </w:pPr>
            <w:r>
              <w:t>Modern drama: the new waves that influenced this art form</w:t>
            </w:r>
          </w:p>
          <w:p w:rsidR="007D00C5" w:rsidRDefault="00891952" w:rsidP="00404ED9">
            <w:pPr>
              <w:pStyle w:val="TableGrid1"/>
              <w:jc w:val="center"/>
            </w:pPr>
            <w:r>
              <w:t xml:space="preserve"> </w:t>
            </w:r>
          </w:p>
        </w:tc>
      </w:tr>
      <w:tr w:rsidR="007D00C5">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76D8" w:rsidRDefault="00FD76D8" w:rsidP="00FD76D8">
            <w:pPr>
              <w:pStyle w:val="TableGrid1"/>
              <w:jc w:val="center"/>
              <w:rPr>
                <w:b/>
              </w:rPr>
            </w:pPr>
            <w:r>
              <w:rPr>
                <w:b/>
              </w:rPr>
              <w:t>14</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00C5" w:rsidRPr="00404ED9" w:rsidRDefault="00FD76D8" w:rsidP="007D00C5">
            <w:pPr>
              <w:pStyle w:val="TableGrid1"/>
              <w:jc w:val="center"/>
            </w:pPr>
            <w:r>
              <w:t>Course Wrap up</w:t>
            </w:r>
          </w:p>
        </w:tc>
      </w:tr>
    </w:tbl>
    <w:p w:rsidR="007D00C5" w:rsidRDefault="007D00C5">
      <w:pPr>
        <w:pStyle w:val="FreeFormA"/>
        <w:rPr>
          <w:b/>
        </w:rPr>
      </w:pPr>
    </w:p>
    <w:p w:rsidR="007D00C5" w:rsidRDefault="007D00C5">
      <w:pPr>
        <w:rPr>
          <w:b/>
        </w:rPr>
      </w:pPr>
    </w:p>
    <w:p w:rsidR="007D00C5" w:rsidRDefault="007D00C5">
      <w:pPr>
        <w:rPr>
          <w:rFonts w:ascii="Times New Roman" w:eastAsia="Times New Roman" w:hAnsi="Times New Roman"/>
          <w:color w:val="auto"/>
          <w:sz w:val="20"/>
        </w:rPr>
      </w:pPr>
      <w:r>
        <w:rPr>
          <w:b/>
        </w:rPr>
        <w:t>Ground Rules:</w:t>
      </w:r>
    </w:p>
    <w:p w:rsidR="007D00C5" w:rsidRDefault="007D00C5" w:rsidP="007D00C5">
      <w:pPr>
        <w:numPr>
          <w:ilvl w:val="0"/>
          <w:numId w:val="1"/>
        </w:numPr>
        <w:rPr>
          <w:rFonts w:ascii="Times New Roman" w:eastAsia="Times New Roman" w:hAnsi="Times New Roman"/>
          <w:color w:val="auto"/>
        </w:rPr>
      </w:pPr>
      <w:r>
        <w:rPr>
          <w:rFonts w:ascii="Times New Roman" w:eastAsia="Times New Roman" w:hAnsi="Times New Roman"/>
          <w:color w:val="auto"/>
        </w:rPr>
        <w:t>Attendance is crucial. If the student's absence exceeds 25% she will be warned. If a student's absence exceeds 50% she will be bann</w:t>
      </w:r>
      <w:r w:rsidR="00B833B1">
        <w:rPr>
          <w:rFonts w:ascii="Times New Roman" w:eastAsia="Times New Roman" w:hAnsi="Times New Roman"/>
          <w:color w:val="auto"/>
        </w:rPr>
        <w:t>ed from entering the final exam.</w:t>
      </w:r>
    </w:p>
    <w:p w:rsidR="007D00C5" w:rsidRDefault="007D00C5" w:rsidP="007D00C5">
      <w:pPr>
        <w:numPr>
          <w:ilvl w:val="0"/>
          <w:numId w:val="1"/>
        </w:numPr>
        <w:rPr>
          <w:rFonts w:ascii="Times New Roman" w:eastAsia="Times New Roman" w:hAnsi="Times New Roman"/>
          <w:color w:val="auto"/>
        </w:rPr>
      </w:pPr>
      <w:r>
        <w:rPr>
          <w:rFonts w:ascii="Times New Roman" w:eastAsia="Times New Roman" w:hAnsi="Times New Roman"/>
          <w:color w:val="auto"/>
        </w:rPr>
        <w:t xml:space="preserve">If a student has a medical or a family condition that she fears will affect her grade, she should notify me early on and explain her situation. </w:t>
      </w:r>
    </w:p>
    <w:p w:rsidR="00F76691" w:rsidRDefault="00F76691" w:rsidP="00B6523D">
      <w:pPr>
        <w:ind w:left="360"/>
        <w:rPr>
          <w:rFonts w:ascii="Times New Roman" w:eastAsia="Times New Roman" w:hAnsi="Times New Roman"/>
          <w:color w:val="auto"/>
        </w:rPr>
      </w:pPr>
    </w:p>
    <w:p w:rsidR="007D00C5" w:rsidRDefault="007D00C5" w:rsidP="007D00C5">
      <w:pPr>
        <w:numPr>
          <w:ilvl w:val="0"/>
          <w:numId w:val="1"/>
        </w:numPr>
        <w:rPr>
          <w:rFonts w:ascii="Times New Roman" w:eastAsia="Times New Roman" w:hAnsi="Times New Roman"/>
          <w:color w:val="auto"/>
        </w:rPr>
      </w:pPr>
      <w:r>
        <w:rPr>
          <w:rFonts w:ascii="Times New Roman" w:eastAsia="Times New Roman" w:hAnsi="Times New Roman"/>
          <w:color w:val="auto"/>
        </w:rPr>
        <w:t xml:space="preserve">Plagiarism is a serious felony in this department. If you plagiarize in your presentation or assignments, the grade will be a nonnegotiable zero. </w:t>
      </w:r>
    </w:p>
    <w:p w:rsidR="007D00C5" w:rsidRPr="002E5D9E" w:rsidRDefault="007D00C5" w:rsidP="007D00C5">
      <w:pPr>
        <w:numPr>
          <w:ilvl w:val="0"/>
          <w:numId w:val="1"/>
        </w:numPr>
        <w:rPr>
          <w:rFonts w:ascii="Times New Roman" w:eastAsia="Times New Roman" w:hAnsi="Times New Roman"/>
          <w:color w:val="auto"/>
        </w:rPr>
      </w:pPr>
      <w:r>
        <w:rPr>
          <w:rFonts w:ascii="Times New Roman" w:eastAsia="Times New Roman" w:hAnsi="Times New Roman"/>
          <w:color w:val="auto"/>
        </w:rPr>
        <w:t xml:space="preserve">Students are expected to understand, speak, and write in Standard English. Therefore, language proficiency is an important factor of your performance in this course. In written assignments, 40% of the mark will be on your language.  </w:t>
      </w:r>
    </w:p>
    <w:sectPr w:rsidR="007D00C5" w:rsidRPr="002E5D9E" w:rsidSect="00A16CC2">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74" w:rsidRDefault="009A5474">
      <w:r>
        <w:separator/>
      </w:r>
    </w:p>
  </w:endnote>
  <w:endnote w:type="continuationSeparator" w:id="0">
    <w:p w:rsidR="009A5474" w:rsidRDefault="009A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C5" w:rsidRDefault="007D00C5">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C5" w:rsidRDefault="007D00C5">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74" w:rsidRDefault="009A5474">
      <w:r>
        <w:separator/>
      </w:r>
    </w:p>
  </w:footnote>
  <w:footnote w:type="continuationSeparator" w:id="0">
    <w:p w:rsidR="009A5474" w:rsidRDefault="009A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C5" w:rsidRDefault="007D00C5">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C5" w:rsidRDefault="007D00C5">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1390"/>
    <w:multiLevelType w:val="hybridMultilevel"/>
    <w:tmpl w:val="596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D6"/>
    <w:rsid w:val="00010333"/>
    <w:rsid w:val="000251FA"/>
    <w:rsid w:val="000768F3"/>
    <w:rsid w:val="000B345A"/>
    <w:rsid w:val="0012303B"/>
    <w:rsid w:val="001341D0"/>
    <w:rsid w:val="00143554"/>
    <w:rsid w:val="001479F6"/>
    <w:rsid w:val="001531C0"/>
    <w:rsid w:val="001962EB"/>
    <w:rsid w:val="0020728D"/>
    <w:rsid w:val="00235072"/>
    <w:rsid w:val="00316462"/>
    <w:rsid w:val="003B4B00"/>
    <w:rsid w:val="003C2CFE"/>
    <w:rsid w:val="003D018D"/>
    <w:rsid w:val="00404ED9"/>
    <w:rsid w:val="00497899"/>
    <w:rsid w:val="00522EB7"/>
    <w:rsid w:val="006043D6"/>
    <w:rsid w:val="006136CD"/>
    <w:rsid w:val="00626CDE"/>
    <w:rsid w:val="00672D28"/>
    <w:rsid w:val="006B5720"/>
    <w:rsid w:val="006F24E9"/>
    <w:rsid w:val="006F2C07"/>
    <w:rsid w:val="00724A05"/>
    <w:rsid w:val="00744152"/>
    <w:rsid w:val="00776095"/>
    <w:rsid w:val="007A478D"/>
    <w:rsid w:val="007D00C5"/>
    <w:rsid w:val="00801423"/>
    <w:rsid w:val="00851CA5"/>
    <w:rsid w:val="00891952"/>
    <w:rsid w:val="008B2032"/>
    <w:rsid w:val="00954725"/>
    <w:rsid w:val="009A5474"/>
    <w:rsid w:val="009B2E67"/>
    <w:rsid w:val="009D3378"/>
    <w:rsid w:val="00A16CC2"/>
    <w:rsid w:val="00A44E3E"/>
    <w:rsid w:val="00A740A6"/>
    <w:rsid w:val="00A90FA4"/>
    <w:rsid w:val="00B15F1D"/>
    <w:rsid w:val="00B61DEB"/>
    <w:rsid w:val="00B6523D"/>
    <w:rsid w:val="00B833B1"/>
    <w:rsid w:val="00BB422B"/>
    <w:rsid w:val="00BC6FD6"/>
    <w:rsid w:val="00C67E5D"/>
    <w:rsid w:val="00C94915"/>
    <w:rsid w:val="00CE3F2F"/>
    <w:rsid w:val="00D136EE"/>
    <w:rsid w:val="00DF0C4F"/>
    <w:rsid w:val="00E16A25"/>
    <w:rsid w:val="00E452DC"/>
    <w:rsid w:val="00EC4634"/>
    <w:rsid w:val="00F76691"/>
    <w:rsid w:val="00FB0039"/>
    <w:rsid w:val="00FD7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16CC2"/>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A16CC2"/>
    <w:rPr>
      <w:rFonts w:ascii="Lucida Grande" w:eastAsia="ヒラギノ角ゴ Pro W3" w:hAnsi="Lucida Grande"/>
      <w:color w:val="000000"/>
      <w:sz w:val="24"/>
    </w:rPr>
  </w:style>
  <w:style w:type="paragraph" w:customStyle="1" w:styleId="TableGrid1">
    <w:name w:val="Table Grid1"/>
    <w:rsid w:val="00A16CC2"/>
    <w:rPr>
      <w:rFonts w:ascii="Lucida Grande" w:eastAsia="ヒラギノ角ゴ Pro W3" w:hAnsi="Lucida Grande"/>
      <w:color w:val="000000"/>
      <w:sz w:val="24"/>
    </w:rPr>
  </w:style>
  <w:style w:type="paragraph" w:customStyle="1" w:styleId="FreeForm">
    <w:name w:val="Free Form"/>
    <w:rsid w:val="00A16CC2"/>
    <w:rPr>
      <w:rFonts w:eastAsia="ヒラギノ角ゴ Pro W3"/>
      <w:color w:val="000000"/>
    </w:rPr>
  </w:style>
  <w:style w:type="paragraph" w:customStyle="1" w:styleId="FreeFormB">
    <w:name w:val="Free Form B"/>
    <w:rsid w:val="00A16CC2"/>
    <w:rPr>
      <w:rFonts w:eastAsia="ヒラギノ角ゴ Pro W3"/>
      <w:color w:val="000000"/>
    </w:rPr>
  </w:style>
  <w:style w:type="paragraph" w:customStyle="1" w:styleId="Body">
    <w:name w:val="Body"/>
    <w:rsid w:val="006043D6"/>
    <w:rPr>
      <w:rFonts w:ascii="Helvetica" w:eastAsia="ヒラギノ角ゴ Pro W3" w:hAnsi="Helvetica"/>
      <w:color w:val="000000"/>
      <w:sz w:val="24"/>
    </w:rPr>
  </w:style>
  <w:style w:type="paragraph" w:styleId="BalloonText">
    <w:name w:val="Balloon Text"/>
    <w:basedOn w:val="Normal"/>
    <w:link w:val="BalloonTextChar"/>
    <w:locked/>
    <w:rsid w:val="00EC4634"/>
    <w:rPr>
      <w:rFonts w:ascii="Tahoma" w:hAnsi="Tahoma" w:cs="Tahoma"/>
      <w:sz w:val="16"/>
      <w:szCs w:val="16"/>
    </w:rPr>
  </w:style>
  <w:style w:type="character" w:customStyle="1" w:styleId="BalloonTextChar">
    <w:name w:val="Balloon Text Char"/>
    <w:basedOn w:val="DefaultParagraphFont"/>
    <w:link w:val="BalloonText"/>
    <w:rsid w:val="00EC4634"/>
    <w:rPr>
      <w:rFonts w:ascii="Tahoma" w:eastAsia="ヒラギノ角ゴ Pro W3" w:hAnsi="Tahoma" w:cs="Tahoma"/>
      <w:color w:val="000000"/>
      <w:sz w:val="16"/>
      <w:szCs w:val="16"/>
    </w:rPr>
  </w:style>
  <w:style w:type="character" w:styleId="Hyperlink">
    <w:name w:val="Hyperlink"/>
    <w:basedOn w:val="DefaultParagraphFont"/>
    <w:locked/>
    <w:rsid w:val="00B15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16CC2"/>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A16CC2"/>
    <w:rPr>
      <w:rFonts w:ascii="Lucida Grande" w:eastAsia="ヒラギノ角ゴ Pro W3" w:hAnsi="Lucida Grande"/>
      <w:color w:val="000000"/>
      <w:sz w:val="24"/>
    </w:rPr>
  </w:style>
  <w:style w:type="paragraph" w:customStyle="1" w:styleId="TableGrid1">
    <w:name w:val="Table Grid1"/>
    <w:rsid w:val="00A16CC2"/>
    <w:rPr>
      <w:rFonts w:ascii="Lucida Grande" w:eastAsia="ヒラギノ角ゴ Pro W3" w:hAnsi="Lucida Grande"/>
      <w:color w:val="000000"/>
      <w:sz w:val="24"/>
    </w:rPr>
  </w:style>
  <w:style w:type="paragraph" w:customStyle="1" w:styleId="FreeForm">
    <w:name w:val="Free Form"/>
    <w:rsid w:val="00A16CC2"/>
    <w:rPr>
      <w:rFonts w:eastAsia="ヒラギノ角ゴ Pro W3"/>
      <w:color w:val="000000"/>
    </w:rPr>
  </w:style>
  <w:style w:type="paragraph" w:customStyle="1" w:styleId="FreeFormB">
    <w:name w:val="Free Form B"/>
    <w:rsid w:val="00A16CC2"/>
    <w:rPr>
      <w:rFonts w:eastAsia="ヒラギノ角ゴ Pro W3"/>
      <w:color w:val="000000"/>
    </w:rPr>
  </w:style>
  <w:style w:type="paragraph" w:customStyle="1" w:styleId="Body">
    <w:name w:val="Body"/>
    <w:rsid w:val="006043D6"/>
    <w:rPr>
      <w:rFonts w:ascii="Helvetica" w:eastAsia="ヒラギノ角ゴ Pro W3" w:hAnsi="Helvetica"/>
      <w:color w:val="000000"/>
      <w:sz w:val="24"/>
    </w:rPr>
  </w:style>
  <w:style w:type="paragraph" w:styleId="BalloonText">
    <w:name w:val="Balloon Text"/>
    <w:basedOn w:val="Normal"/>
    <w:link w:val="BalloonTextChar"/>
    <w:locked/>
    <w:rsid w:val="00EC4634"/>
    <w:rPr>
      <w:rFonts w:ascii="Tahoma" w:hAnsi="Tahoma" w:cs="Tahoma"/>
      <w:sz w:val="16"/>
      <w:szCs w:val="16"/>
    </w:rPr>
  </w:style>
  <w:style w:type="character" w:customStyle="1" w:styleId="BalloonTextChar">
    <w:name w:val="Balloon Text Char"/>
    <w:basedOn w:val="DefaultParagraphFont"/>
    <w:link w:val="BalloonText"/>
    <w:rsid w:val="00EC4634"/>
    <w:rPr>
      <w:rFonts w:ascii="Tahoma" w:eastAsia="ヒラギノ角ゴ Pro W3" w:hAnsi="Tahoma" w:cs="Tahoma"/>
      <w:color w:val="000000"/>
      <w:sz w:val="16"/>
      <w:szCs w:val="16"/>
    </w:rPr>
  </w:style>
  <w:style w:type="character" w:styleId="Hyperlink">
    <w:name w:val="Hyperlink"/>
    <w:basedOn w:val="DefaultParagraphFont"/>
    <w:locked/>
    <w:rsid w:val="00B15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lmeshaal@ksu.edu.s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2180-9181-4223-97B1-437C2E89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ASUS</cp:lastModifiedBy>
  <cp:revision>3</cp:revision>
  <cp:lastPrinted>2015-08-30T06:01:00Z</cp:lastPrinted>
  <dcterms:created xsi:type="dcterms:W3CDTF">2015-09-12T14:13:00Z</dcterms:created>
  <dcterms:modified xsi:type="dcterms:W3CDTF">2015-09-12T14:14:00Z</dcterms:modified>
</cp:coreProperties>
</file>