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461"/>
        <w:gridCol w:w="3800"/>
        <w:gridCol w:w="2231"/>
      </w:tblGrid>
      <w:tr w:rsidR="00024767" w:rsidRPr="00977E4A" w14:paraId="650A5B4A" w14:textId="77777777" w:rsidTr="00E42712">
        <w:trPr>
          <w:jc w:val="center"/>
        </w:trPr>
        <w:tc>
          <w:tcPr>
            <w:tcW w:w="2461" w:type="dxa"/>
          </w:tcPr>
          <w:p w14:paraId="650A5B47" w14:textId="77777777" w:rsidR="00024767" w:rsidRPr="00977E4A" w:rsidRDefault="00024767" w:rsidP="00E42712">
            <w:pPr>
              <w:jc w:val="center"/>
              <w:rPr>
                <w:rFonts w:cs="Simplified Arabic"/>
                <w:sz w:val="20"/>
                <w:szCs w:val="20"/>
              </w:rPr>
            </w:pP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>جامعة</w:t>
            </w:r>
            <w:r>
              <w:rPr>
                <w:rFonts w:cs="Monotype Koufi"/>
                <w:sz w:val="20"/>
                <w:szCs w:val="20"/>
              </w:rPr>
              <w:t xml:space="preserve"> </w:t>
            </w: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 xml:space="preserve"> الملك </w:t>
            </w:r>
            <w:r>
              <w:rPr>
                <w:rFonts w:cs="Monotype Koufi"/>
                <w:sz w:val="20"/>
                <w:szCs w:val="20"/>
              </w:rPr>
              <w:t xml:space="preserve"> </w:t>
            </w: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>سعود</w:t>
            </w:r>
          </w:p>
        </w:tc>
        <w:tc>
          <w:tcPr>
            <w:tcW w:w="3800" w:type="dxa"/>
            <w:vMerge w:val="restart"/>
            <w:vAlign w:val="center"/>
          </w:tcPr>
          <w:p w14:paraId="650A5B48" w14:textId="77777777" w:rsidR="00024767" w:rsidRPr="00977E4A" w:rsidRDefault="00024767" w:rsidP="00E42712">
            <w:pPr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noProof/>
                <w:sz w:val="16"/>
                <w:szCs w:val="16"/>
                <w:rtl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650A5B90" wp14:editId="650A5B9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3175</wp:posOffset>
                  </wp:positionV>
                  <wp:extent cx="779145" cy="920750"/>
                  <wp:effectExtent l="19050" t="0" r="1905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1" w:type="dxa"/>
            <w:vAlign w:val="center"/>
          </w:tcPr>
          <w:p w14:paraId="650A5B49" w14:textId="77777777" w:rsidR="00024767" w:rsidRPr="00977E4A" w:rsidRDefault="00024767" w:rsidP="00E42712">
            <w:pPr>
              <w:bidi w:val="0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KING</w:t>
                </w:r>
              </w:smartTag>
              <w:r w:rsidRPr="00977E4A">
                <w:rPr>
                  <w:rFonts w:cs="Simplified Arabic"/>
                  <w:b/>
                  <w:bCs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SAUD</w:t>
                </w:r>
              </w:smartTag>
              <w:r w:rsidRPr="00977E4A">
                <w:rPr>
                  <w:rFonts w:cs="Simplified Arabic"/>
                  <w:b/>
                  <w:bCs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UNIVERSITY</w:t>
                </w:r>
              </w:smartTag>
            </w:smartTag>
          </w:p>
        </w:tc>
      </w:tr>
      <w:tr w:rsidR="00024767" w:rsidRPr="00977E4A" w14:paraId="650A5B4E" w14:textId="77777777" w:rsidTr="00E42712">
        <w:trPr>
          <w:jc w:val="center"/>
        </w:trPr>
        <w:tc>
          <w:tcPr>
            <w:tcW w:w="2461" w:type="dxa"/>
          </w:tcPr>
          <w:p w14:paraId="650A5B4B" w14:textId="77777777" w:rsidR="00024767" w:rsidRPr="00977E4A" w:rsidRDefault="00024767" w:rsidP="00E42712">
            <w:pPr>
              <w:jc w:val="center"/>
              <w:rPr>
                <w:rFonts w:cs="Monotype Koufi"/>
                <w:sz w:val="20"/>
                <w:szCs w:val="20"/>
              </w:rPr>
            </w:pP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>كلية العلوم</w:t>
            </w:r>
          </w:p>
        </w:tc>
        <w:tc>
          <w:tcPr>
            <w:tcW w:w="0" w:type="auto"/>
            <w:vMerge/>
            <w:vAlign w:val="center"/>
          </w:tcPr>
          <w:p w14:paraId="650A5B4C" w14:textId="77777777" w:rsidR="00024767" w:rsidRPr="00977E4A" w:rsidRDefault="00024767" w:rsidP="00E42712">
            <w:pPr>
              <w:bidi w:val="0"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650A5B4D" w14:textId="77777777" w:rsidR="00024767" w:rsidRPr="00977E4A" w:rsidRDefault="00024767" w:rsidP="00E42712">
            <w:pPr>
              <w:bidi w:val="0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COLLEGE</w:t>
                </w:r>
              </w:smartTag>
              <w:r w:rsidRPr="00977E4A">
                <w:rPr>
                  <w:rFonts w:cs="Simplified Arabic"/>
                  <w:b/>
                  <w:bCs/>
                  <w:sz w:val="16"/>
                  <w:szCs w:val="16"/>
                </w:rPr>
                <w:t xml:space="preserve"> OF </w:t>
              </w:r>
              <w:smartTag w:uri="urn:schemas-microsoft-com:office:smarttags" w:element="PlaceName">
                <w:r w:rsidRPr="00977E4A">
                  <w:rPr>
                    <w:rFonts w:cs="Simplified Arabic"/>
                    <w:b/>
                    <w:bCs/>
                    <w:sz w:val="16"/>
                    <w:szCs w:val="16"/>
                  </w:rPr>
                  <w:t>SCIENCE</w:t>
                </w:r>
              </w:smartTag>
            </w:smartTag>
          </w:p>
        </w:tc>
      </w:tr>
      <w:tr w:rsidR="00024767" w:rsidRPr="00977E4A" w14:paraId="650A5B52" w14:textId="77777777" w:rsidTr="00E42712">
        <w:trPr>
          <w:jc w:val="center"/>
        </w:trPr>
        <w:tc>
          <w:tcPr>
            <w:tcW w:w="2461" w:type="dxa"/>
          </w:tcPr>
          <w:p w14:paraId="650A5B4F" w14:textId="77777777" w:rsidR="00024767" w:rsidRPr="00977E4A" w:rsidRDefault="00024767" w:rsidP="00E42712">
            <w:pPr>
              <w:jc w:val="center"/>
              <w:rPr>
                <w:rFonts w:cs="Monotype Koufi"/>
                <w:sz w:val="20"/>
                <w:szCs w:val="20"/>
              </w:rPr>
            </w:pP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 xml:space="preserve">قسم النبات </w:t>
            </w:r>
          </w:p>
        </w:tc>
        <w:tc>
          <w:tcPr>
            <w:tcW w:w="0" w:type="auto"/>
            <w:vMerge/>
            <w:vAlign w:val="center"/>
          </w:tcPr>
          <w:p w14:paraId="650A5B50" w14:textId="77777777" w:rsidR="00024767" w:rsidRPr="00977E4A" w:rsidRDefault="00024767" w:rsidP="00E42712">
            <w:pPr>
              <w:bidi w:val="0"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650A5B51" w14:textId="77777777" w:rsidR="00024767" w:rsidRPr="00977E4A" w:rsidRDefault="00024767" w:rsidP="00E42712">
            <w:pPr>
              <w:tabs>
                <w:tab w:val="left" w:pos="2334"/>
              </w:tabs>
              <w:bidi w:val="0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 w:rsidRPr="00977E4A">
              <w:rPr>
                <w:rFonts w:cs="Simplified Arabic"/>
                <w:b/>
                <w:bCs/>
                <w:sz w:val="16"/>
                <w:szCs w:val="16"/>
              </w:rPr>
              <w:t>DEPARTMENT OF BOTANY</w:t>
            </w:r>
          </w:p>
        </w:tc>
      </w:tr>
      <w:tr w:rsidR="00024767" w:rsidRPr="00977E4A" w14:paraId="650A5B56" w14:textId="77777777" w:rsidTr="00E42712">
        <w:trPr>
          <w:trHeight w:val="378"/>
          <w:jc w:val="center"/>
        </w:trPr>
        <w:tc>
          <w:tcPr>
            <w:tcW w:w="2461" w:type="dxa"/>
          </w:tcPr>
          <w:p w14:paraId="650A5B53" w14:textId="77777777" w:rsidR="00024767" w:rsidRPr="00977E4A" w:rsidRDefault="00024767" w:rsidP="00E42712">
            <w:pPr>
              <w:jc w:val="center"/>
              <w:rPr>
                <w:rFonts w:cs="Monotype Koufi"/>
                <w:sz w:val="20"/>
                <w:szCs w:val="20"/>
              </w:rPr>
            </w:pPr>
            <w:r w:rsidRPr="00977E4A">
              <w:rPr>
                <w:rFonts w:cs="Monotype Koufi" w:hint="cs"/>
                <w:sz w:val="20"/>
                <w:szCs w:val="20"/>
                <w:rtl/>
                <w:lang w:bidi="ar-SA"/>
              </w:rPr>
              <w:t>والأحياء الدقيقة</w:t>
            </w:r>
          </w:p>
        </w:tc>
        <w:tc>
          <w:tcPr>
            <w:tcW w:w="0" w:type="auto"/>
            <w:vMerge/>
            <w:vAlign w:val="center"/>
          </w:tcPr>
          <w:p w14:paraId="650A5B54" w14:textId="77777777" w:rsidR="00024767" w:rsidRPr="00977E4A" w:rsidRDefault="00024767" w:rsidP="00E42712">
            <w:pPr>
              <w:bidi w:val="0"/>
              <w:jc w:val="right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650A5B55" w14:textId="77777777" w:rsidR="00024767" w:rsidRPr="00977E4A" w:rsidRDefault="00024767" w:rsidP="00E42712">
            <w:pPr>
              <w:tabs>
                <w:tab w:val="left" w:pos="2334"/>
              </w:tabs>
              <w:bidi w:val="0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cs="Simplified Arabic"/>
                <w:b/>
                <w:bCs/>
                <w:sz w:val="16"/>
                <w:szCs w:val="16"/>
              </w:rPr>
              <w:t>&amp; MICROBIOLOGY</w:t>
            </w:r>
          </w:p>
        </w:tc>
      </w:tr>
    </w:tbl>
    <w:p w14:paraId="650A5B57" w14:textId="77777777" w:rsidR="00024767" w:rsidRPr="00977E4A" w:rsidRDefault="00024767" w:rsidP="00024767">
      <w:pPr>
        <w:rPr>
          <w:rFonts w:ascii="Arabic Transparent" w:cs="Arabic Transparent"/>
          <w:b/>
          <w:bCs/>
          <w:sz w:val="16"/>
          <w:szCs w:val="16"/>
          <w:rtl/>
          <w:lang w:bidi="ar-SA"/>
        </w:rPr>
      </w:pPr>
      <w:r w:rsidRPr="00977E4A">
        <w:rPr>
          <w:rFonts w:ascii="Arabic Transparent" w:cs="Arabic Transparent" w:hint="cs"/>
          <w:b/>
          <w:bCs/>
          <w:sz w:val="16"/>
          <w:szCs w:val="16"/>
          <w:rtl/>
          <w:lang w:bidi="ar-SA"/>
        </w:rPr>
        <w:t xml:space="preserve">   </w:t>
      </w:r>
    </w:p>
    <w:tbl>
      <w:tblPr>
        <w:tblpPr w:leftFromText="180" w:rightFromText="180" w:vertAnchor="text" w:horzAnchor="margin" w:tblpXSpec="center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2"/>
      </w:tblGrid>
      <w:tr w:rsidR="00024767" w:rsidRPr="00EF1BD9" w14:paraId="650A5B59" w14:textId="77777777" w:rsidTr="00E42712">
        <w:trPr>
          <w:trHeight w:val="364"/>
        </w:trPr>
        <w:tc>
          <w:tcPr>
            <w:tcW w:w="6722" w:type="dxa"/>
            <w:shd w:val="clear" w:color="auto" w:fill="E6E6E6"/>
            <w:vAlign w:val="center"/>
          </w:tcPr>
          <w:p w14:paraId="650A5B58" w14:textId="77777777" w:rsidR="00024767" w:rsidRPr="00EF1BD9" w:rsidRDefault="00024767" w:rsidP="00E42712">
            <w:pPr>
              <w:jc w:val="center"/>
              <w:rPr>
                <w:rFonts w:ascii="Bookman Old Style" w:hAnsi="Bookman Old Style" w:cs="PT Bold Heading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مختصر </w:t>
            </w: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توصيف المقرر </w:t>
            </w:r>
          </w:p>
        </w:tc>
      </w:tr>
    </w:tbl>
    <w:p w14:paraId="650A5B5A" w14:textId="77777777" w:rsidR="00024767" w:rsidRPr="00453D7A" w:rsidRDefault="00024767" w:rsidP="00024767">
      <w:pPr>
        <w:rPr>
          <w:rFonts w:cs="AL-Mohanad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250"/>
      </w:tblGrid>
      <w:tr w:rsidR="00024767" w:rsidRPr="00685424" w14:paraId="650A5B5D" w14:textId="77777777" w:rsidTr="00E42712">
        <w:tc>
          <w:tcPr>
            <w:tcW w:w="4249" w:type="dxa"/>
          </w:tcPr>
          <w:p w14:paraId="650A5B5B" w14:textId="77777777" w:rsidR="00024767" w:rsidRPr="00685424" w:rsidRDefault="00024767" w:rsidP="00E4271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المقرر: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علم الوراثة</w:t>
            </w:r>
          </w:p>
        </w:tc>
        <w:tc>
          <w:tcPr>
            <w:tcW w:w="4250" w:type="dxa"/>
          </w:tcPr>
          <w:p w14:paraId="650A5B5C" w14:textId="4BA50738" w:rsidR="00024767" w:rsidRPr="00685424" w:rsidRDefault="00024767" w:rsidP="00E4271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رقم المقرر </w:t>
            </w:r>
            <w:proofErr w:type="gramStart"/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ورمزه: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25</w:t>
            </w:r>
            <w:r w:rsidR="00900F6E"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نبت</w:t>
            </w:r>
          </w:p>
        </w:tc>
      </w:tr>
      <w:tr w:rsidR="00024767" w:rsidRPr="00685424" w14:paraId="650A5B60" w14:textId="77777777" w:rsidTr="00E42712">
        <w:tc>
          <w:tcPr>
            <w:tcW w:w="4249" w:type="dxa"/>
          </w:tcPr>
          <w:p w14:paraId="650A5B5E" w14:textId="77777777" w:rsidR="00024767" w:rsidRPr="00685424" w:rsidRDefault="00024767" w:rsidP="008A3E0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المتطلب ال</w:t>
            </w:r>
            <w:r w:rsidR="008A3E02">
              <w:rPr>
                <w:rFonts w:cs="Arabic Transparent" w:hint="cs"/>
                <w:sz w:val="28"/>
                <w:szCs w:val="28"/>
                <w:rtl/>
                <w:lang w:bidi="ar-JO"/>
              </w:rPr>
              <w:t>مصاحب</w:t>
            </w: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للمقرر: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251 نبت</w:t>
            </w:r>
          </w:p>
        </w:tc>
        <w:tc>
          <w:tcPr>
            <w:tcW w:w="4250" w:type="dxa"/>
          </w:tcPr>
          <w:p w14:paraId="650A5B5F" w14:textId="77777777" w:rsidR="00024767" w:rsidRPr="00685424" w:rsidRDefault="00024767" w:rsidP="00E4271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لغة تدريس المقرر: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اللغة الانجليزية</w:t>
            </w:r>
          </w:p>
        </w:tc>
      </w:tr>
      <w:tr w:rsidR="00024767" w:rsidRPr="00685424" w14:paraId="650A5B63" w14:textId="77777777" w:rsidTr="00E42712">
        <w:tc>
          <w:tcPr>
            <w:tcW w:w="4249" w:type="dxa"/>
          </w:tcPr>
          <w:p w14:paraId="650A5B61" w14:textId="77777777" w:rsidR="00024767" w:rsidRPr="00685424" w:rsidRDefault="00024767" w:rsidP="008A3E0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مستوى المقرر:</w:t>
            </w:r>
            <w:r w:rsidR="008A3E0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الخامس</w:t>
            </w:r>
          </w:p>
        </w:tc>
        <w:tc>
          <w:tcPr>
            <w:tcW w:w="4250" w:type="dxa"/>
          </w:tcPr>
          <w:p w14:paraId="650A5B62" w14:textId="77777777" w:rsidR="00024767" w:rsidRPr="00685424" w:rsidRDefault="00024767" w:rsidP="00E4271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الساعات المعتمدة: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4 ( 3+</w:t>
            </w:r>
            <w:r w:rsidR="0049424D">
              <w:rPr>
                <w:rFonts w:cs="Arabic Transparent" w:hint="cs"/>
                <w:sz w:val="28"/>
                <w:szCs w:val="28"/>
                <w:rtl/>
                <w:lang w:bidi="ar-JO"/>
              </w:rPr>
              <w:t>0+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1 )</w:t>
            </w:r>
          </w:p>
        </w:tc>
      </w:tr>
    </w:tbl>
    <w:p w14:paraId="650A5B64" w14:textId="77777777" w:rsidR="00024767" w:rsidRPr="007A4106" w:rsidRDefault="00024767" w:rsidP="00024767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24767" w:rsidRPr="00685424" w14:paraId="650A5B67" w14:textId="77777777" w:rsidTr="00E42712">
        <w:trPr>
          <w:trHeight w:val="1030"/>
        </w:trPr>
        <w:tc>
          <w:tcPr>
            <w:tcW w:w="4261" w:type="dxa"/>
          </w:tcPr>
          <w:p w14:paraId="650A5B65" w14:textId="77777777" w:rsidR="00024767" w:rsidRPr="00B02D4E" w:rsidRDefault="00024767" w:rsidP="00E42712">
            <w:pPr>
              <w:jc w:val="both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المفاهيم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 xml:space="preserve"> الوراثية الأساسية ، الوراثة والبيئة ، </w:t>
            </w:r>
            <w:r w:rsidRPr="00B02D4E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الانعزال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والتوزيع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 xml:space="preserve"> الحر</w:t>
            </w:r>
            <w:r w:rsidRPr="00B02D4E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 xml:space="preserve"> للكروموسوما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ت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 xml:space="preserve"> والجينات ، تحديد الجنس ، </w:t>
            </w:r>
            <w:r w:rsidRPr="00B02D4E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الارتباط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 xml:space="preserve"> والعبور والخرائط 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الوراثية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 xml:space="preserve"> ، انتقال المادة الوراثية في الأحياء الدقيقة ، الوراثة السيتوبلازمية 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 xml:space="preserve"> وراثة المجتمعات ، الطفرات الوراثية ، تركيب المادة الوراثية ، التحكم الوراثي 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في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 xml:space="preserve"> بناء البروتينات ، الشفرة الوراثية وتنظيم علم الجينات ، الهندسة الوراثية في</w:t>
            </w:r>
            <w:r w:rsidRPr="00B02D4E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 xml:space="preserve"> النبات</w:t>
            </w:r>
            <w:r w:rsidRPr="00B02D4E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261" w:type="dxa"/>
          </w:tcPr>
          <w:p w14:paraId="650A5B66" w14:textId="77777777" w:rsidR="00024767" w:rsidRPr="00B02D4E" w:rsidRDefault="00024767" w:rsidP="00E42712">
            <w:pPr>
              <w:jc w:val="right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02D4E">
              <w:rPr>
                <w:rFonts w:cs="Simplified Arabic"/>
                <w:b/>
                <w:bCs/>
                <w:sz w:val="18"/>
                <w:szCs w:val="18"/>
              </w:rPr>
              <w:t xml:space="preserve">Basic genetic concepts.  Heredity and environment, segregation and </w:t>
            </w:r>
            <w:proofErr w:type="spellStart"/>
            <w:r w:rsidRPr="00B02D4E">
              <w:rPr>
                <w:rFonts w:cs="Simplified Arabic"/>
                <w:b/>
                <w:bCs/>
                <w:sz w:val="18"/>
                <w:szCs w:val="18"/>
              </w:rPr>
              <w:t>indepenassortment</w:t>
            </w:r>
            <w:proofErr w:type="spellEnd"/>
            <w:r w:rsidRPr="00B02D4E">
              <w:rPr>
                <w:rFonts w:cs="Simplified Arabic"/>
                <w:b/>
                <w:bCs/>
                <w:sz w:val="18"/>
                <w:szCs w:val="18"/>
              </w:rPr>
              <w:t xml:space="preserve"> of genes and chromosomes, sex determination, linkage, </w:t>
            </w:r>
            <w:proofErr w:type="spellStart"/>
            <w:r w:rsidRPr="00B02D4E">
              <w:rPr>
                <w:rFonts w:cs="Simplified Arabic"/>
                <w:b/>
                <w:bCs/>
                <w:sz w:val="18"/>
                <w:szCs w:val="18"/>
              </w:rPr>
              <w:t>crossingover</w:t>
            </w:r>
            <w:proofErr w:type="spellEnd"/>
            <w:r w:rsidRPr="00B02D4E">
              <w:rPr>
                <w:rFonts w:cs="Simplified Arabic"/>
                <w:b/>
                <w:bCs/>
                <w:sz w:val="18"/>
                <w:szCs w:val="18"/>
              </w:rPr>
              <w:t xml:space="preserve"> and genetic maps.  Transmission of genetic material in microorganisms.  Cytoplasmic inheritance, Population genetics, genetic mutation, structure of genetic material.  Genetic control of protein action.  Genetic </w:t>
            </w:r>
            <w:proofErr w:type="gramStart"/>
            <w:r w:rsidRPr="00B02D4E">
              <w:rPr>
                <w:rFonts w:cs="Simplified Arabic"/>
                <w:b/>
                <w:bCs/>
                <w:sz w:val="18"/>
                <w:szCs w:val="18"/>
              </w:rPr>
              <w:t>engineering  in</w:t>
            </w:r>
            <w:proofErr w:type="gramEnd"/>
            <w:r w:rsidRPr="00B02D4E">
              <w:rPr>
                <w:rFonts w:cs="Simplified Arabic"/>
                <w:b/>
                <w:bCs/>
                <w:sz w:val="18"/>
                <w:szCs w:val="18"/>
              </w:rPr>
              <w:t xml:space="preserve"> plants.</w:t>
            </w:r>
          </w:p>
        </w:tc>
      </w:tr>
    </w:tbl>
    <w:p w14:paraId="650A5B68" w14:textId="77777777" w:rsidR="00024767" w:rsidRPr="007A4106" w:rsidRDefault="00024767" w:rsidP="00024767">
      <w:pPr>
        <w:rPr>
          <w:rFonts w:cs="Arabic Transparent"/>
          <w:sz w:val="10"/>
          <w:szCs w:val="10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24767" w:rsidRPr="00685424" w14:paraId="650A5B6B" w14:textId="77777777" w:rsidTr="00E42712">
        <w:tc>
          <w:tcPr>
            <w:tcW w:w="4261" w:type="dxa"/>
          </w:tcPr>
          <w:p w14:paraId="650A5B69" w14:textId="77777777" w:rsidR="00024767" w:rsidRPr="00685424" w:rsidRDefault="00024767" w:rsidP="00E42712">
            <w:pPr>
              <w:rPr>
                <w:rFonts w:cs="Arabic Transparent"/>
                <w:sz w:val="28"/>
                <w:szCs w:val="28"/>
                <w:rtl/>
                <w:lang w:bidi="ar-SA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 xml:space="preserve">التعرف على 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المفاهيم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الوراثية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الأساسية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الوراثة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والبيئة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.</w:t>
            </w:r>
          </w:p>
        </w:tc>
        <w:tc>
          <w:tcPr>
            <w:tcW w:w="4261" w:type="dxa"/>
          </w:tcPr>
          <w:p w14:paraId="650A5B6A" w14:textId="77777777" w:rsidR="00024767" w:rsidRPr="00685424" w:rsidRDefault="00024767" w:rsidP="00E42712">
            <w:pPr>
              <w:jc w:val="right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B02D4E">
              <w:rPr>
                <w:rFonts w:cs="Simplified Arabic"/>
                <w:b/>
                <w:bCs/>
                <w:sz w:val="18"/>
                <w:szCs w:val="18"/>
              </w:rPr>
              <w:t xml:space="preserve">Basic genetic </w:t>
            </w:r>
            <w:proofErr w:type="gramStart"/>
            <w:r w:rsidRPr="00B02D4E">
              <w:rPr>
                <w:rFonts w:cs="Simplified Arabic"/>
                <w:b/>
                <w:bCs/>
                <w:sz w:val="18"/>
                <w:szCs w:val="18"/>
              </w:rPr>
              <w:t>con</w:t>
            </w:r>
            <w:r>
              <w:rPr>
                <w:rFonts w:cs="Simplified Arabic"/>
                <w:b/>
                <w:bCs/>
                <w:sz w:val="18"/>
                <w:szCs w:val="18"/>
              </w:rPr>
              <w:t>cepts,</w:t>
            </w:r>
            <w:r w:rsidRPr="00B02D4E">
              <w:rPr>
                <w:rFonts w:cs="Simplified Arabic"/>
                <w:b/>
                <w:bCs/>
                <w:sz w:val="18"/>
                <w:szCs w:val="18"/>
              </w:rPr>
              <w:t>  Heredity</w:t>
            </w:r>
            <w:proofErr w:type="gramEnd"/>
            <w:r w:rsidRPr="00B02D4E">
              <w:rPr>
                <w:rFonts w:cs="Simplified Arabic"/>
                <w:b/>
                <w:bCs/>
                <w:sz w:val="18"/>
                <w:szCs w:val="18"/>
              </w:rPr>
              <w:t xml:space="preserve"> and environment</w:t>
            </w:r>
            <w:r>
              <w:rPr>
                <w:rFonts w:cs="Simplified Arabic"/>
                <w:b/>
                <w:bCs/>
                <w:sz w:val="18"/>
                <w:szCs w:val="18"/>
              </w:rPr>
              <w:t>.</w:t>
            </w:r>
          </w:p>
        </w:tc>
      </w:tr>
      <w:tr w:rsidR="00024767" w:rsidRPr="00685424" w14:paraId="650A5B6E" w14:textId="77777777" w:rsidTr="00E42712">
        <w:tc>
          <w:tcPr>
            <w:tcW w:w="4261" w:type="dxa"/>
          </w:tcPr>
          <w:p w14:paraId="650A5B6C" w14:textId="77777777" w:rsidR="00024767" w:rsidRPr="00685424" w:rsidRDefault="00024767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61" w:type="dxa"/>
          </w:tcPr>
          <w:p w14:paraId="650A5B6D" w14:textId="77777777" w:rsidR="00024767" w:rsidRPr="00685424" w:rsidRDefault="00024767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024767" w:rsidRPr="00685424" w14:paraId="650A5B71" w14:textId="77777777" w:rsidTr="00E42712">
        <w:tc>
          <w:tcPr>
            <w:tcW w:w="4261" w:type="dxa"/>
          </w:tcPr>
          <w:p w14:paraId="650A5B6F" w14:textId="77777777" w:rsidR="00024767" w:rsidRPr="00685424" w:rsidRDefault="00024767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61" w:type="dxa"/>
          </w:tcPr>
          <w:p w14:paraId="650A5B70" w14:textId="77777777" w:rsidR="00024767" w:rsidRPr="00685424" w:rsidRDefault="00024767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14:paraId="650A5B72" w14:textId="77777777" w:rsidR="00024767" w:rsidRPr="004C7BA5" w:rsidRDefault="00024767" w:rsidP="00024767">
      <w:pPr>
        <w:rPr>
          <w:rFonts w:cs="Arabic Transparent"/>
          <w:b/>
          <w:bCs/>
          <w:sz w:val="14"/>
          <w:szCs w:val="14"/>
          <w:u w:val="single"/>
          <w:lang w:bidi="ar-JO"/>
        </w:rPr>
      </w:pPr>
    </w:p>
    <w:p w14:paraId="650A5B73" w14:textId="77777777" w:rsidR="00024767" w:rsidRPr="004C5727" w:rsidRDefault="00024767" w:rsidP="0002476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14:paraId="650A5B74" w14:textId="77777777" w:rsidR="00024767" w:rsidRPr="007A4106" w:rsidRDefault="00024767" w:rsidP="00024767">
      <w:pPr>
        <w:rPr>
          <w:rFonts w:cs="Arabic Transparent"/>
          <w:sz w:val="10"/>
          <w:szCs w:val="10"/>
          <w:rtl/>
          <w:lang w:bidi="ar-JO"/>
        </w:rPr>
      </w:pPr>
    </w:p>
    <w:p w14:paraId="650A5B75" w14:textId="77777777" w:rsidR="00024767" w:rsidRDefault="00024767" w:rsidP="0002476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p w14:paraId="650A5B76" w14:textId="77777777" w:rsidR="00024767" w:rsidRPr="007A4106" w:rsidRDefault="00024767" w:rsidP="00024767">
      <w:pPr>
        <w:rPr>
          <w:rFonts w:cs="Arabic Transparent"/>
          <w:sz w:val="10"/>
          <w:szCs w:val="10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249"/>
      </w:tblGrid>
      <w:tr w:rsidR="00024767" w:rsidRPr="00685424" w14:paraId="650A5B79" w14:textId="77777777" w:rsidTr="00E42712">
        <w:tc>
          <w:tcPr>
            <w:tcW w:w="4250" w:type="dxa"/>
          </w:tcPr>
          <w:p w14:paraId="650A5B77" w14:textId="77777777" w:rsidR="00024767" w:rsidRPr="00381C90" w:rsidRDefault="00024767" w:rsidP="00E42712">
            <w:pPr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</w:pPr>
            <w:r w:rsidRPr="00381C90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التعريف ب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المفاهيم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الوراثية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الأساسية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الوراثة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والبيئة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الانعزال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والتوزيع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الحر</w:t>
            </w:r>
            <w:r w:rsidRPr="00B02D4E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للكروموسوما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ت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وراثة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المجتمعات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الطفرات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الوراثية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49" w:type="dxa"/>
          </w:tcPr>
          <w:p w14:paraId="650A5B78" w14:textId="77777777" w:rsidR="00024767" w:rsidRPr="00685424" w:rsidRDefault="00024767" w:rsidP="00E42712">
            <w:pPr>
              <w:bidi w:val="0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Knowing the b</w:t>
            </w:r>
            <w:r w:rsidRPr="00B02D4E">
              <w:rPr>
                <w:rFonts w:cs="Simplified Arabic"/>
                <w:b/>
                <w:bCs/>
                <w:sz w:val="18"/>
                <w:szCs w:val="18"/>
              </w:rPr>
              <w:t xml:space="preserve">asic genetic concepts.  Heredity and environment, Cytoplasmic inheritance, Population </w:t>
            </w:r>
          </w:p>
        </w:tc>
      </w:tr>
      <w:tr w:rsidR="00024767" w:rsidRPr="00685424" w14:paraId="650A5B7C" w14:textId="77777777" w:rsidTr="00E42712">
        <w:tc>
          <w:tcPr>
            <w:tcW w:w="4250" w:type="dxa"/>
          </w:tcPr>
          <w:p w14:paraId="650A5B7A" w14:textId="77777777" w:rsidR="00024767" w:rsidRPr="00685424" w:rsidRDefault="00024767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تركيب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المادة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الوراثية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التحكم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الوراثي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 w:hint="eastAsia"/>
                <w:b/>
                <w:bCs/>
                <w:sz w:val="18"/>
                <w:szCs w:val="18"/>
                <w:rtl/>
                <w:lang w:bidi="ar-SA"/>
              </w:rPr>
              <w:t>في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بناء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البروتينات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،</w:t>
            </w:r>
          </w:p>
        </w:tc>
        <w:tc>
          <w:tcPr>
            <w:tcW w:w="4249" w:type="dxa"/>
          </w:tcPr>
          <w:p w14:paraId="650A5B7B" w14:textId="77777777" w:rsidR="00024767" w:rsidRPr="00685424" w:rsidRDefault="00024767" w:rsidP="00E42712">
            <w:pPr>
              <w:jc w:val="right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B02D4E">
              <w:rPr>
                <w:rFonts w:cs="Simplified Arabic"/>
                <w:b/>
                <w:bCs/>
                <w:sz w:val="18"/>
                <w:szCs w:val="18"/>
              </w:rPr>
              <w:t>genetics, genetic mutation, structure of genetic</w:t>
            </w:r>
          </w:p>
        </w:tc>
      </w:tr>
      <w:tr w:rsidR="00024767" w:rsidRPr="00685424" w14:paraId="650A5B7F" w14:textId="77777777" w:rsidTr="00E42712">
        <w:tc>
          <w:tcPr>
            <w:tcW w:w="4250" w:type="dxa"/>
          </w:tcPr>
          <w:p w14:paraId="650A5B7D" w14:textId="77777777" w:rsidR="00024767" w:rsidRPr="00685424" w:rsidRDefault="00024767" w:rsidP="00E42712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الشفرة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الوراثية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وتنظيم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علم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الجينات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الهندسة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الوراثية</w:t>
            </w:r>
            <w:r w:rsidRPr="00B02D4E">
              <w:rPr>
                <w:rFonts w:ascii="Simplified Arabic" w:cs="Simplified Arabic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/>
                <w:b/>
                <w:bCs/>
                <w:sz w:val="18"/>
                <w:szCs w:val="18"/>
                <w:rtl/>
                <w:lang w:bidi="ar-SA"/>
              </w:rPr>
              <w:t>في</w:t>
            </w:r>
            <w:r w:rsidRPr="00B02D4E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02D4E">
              <w:rPr>
                <w:rFonts w:cs="Simplified Arabic" w:hint="cs"/>
                <w:b/>
                <w:bCs/>
                <w:sz w:val="18"/>
                <w:szCs w:val="18"/>
                <w:rtl/>
                <w:lang w:bidi="ar-SA"/>
              </w:rPr>
              <w:t>النبات</w:t>
            </w:r>
            <w:r w:rsidRPr="00B02D4E">
              <w:rPr>
                <w:rFonts w:ascii="Simplified Arabic" w:cs="Simplified Arabic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249" w:type="dxa"/>
          </w:tcPr>
          <w:p w14:paraId="650A5B7E" w14:textId="77777777" w:rsidR="00024767" w:rsidRPr="00685424" w:rsidRDefault="00024767" w:rsidP="00E42712">
            <w:pPr>
              <w:jc w:val="right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B02D4E">
              <w:rPr>
                <w:rFonts w:cs="Simplified Arabic"/>
                <w:b/>
                <w:bCs/>
                <w:sz w:val="18"/>
                <w:szCs w:val="18"/>
              </w:rPr>
              <w:t>material</w:t>
            </w:r>
          </w:p>
        </w:tc>
      </w:tr>
    </w:tbl>
    <w:p w14:paraId="650A5B80" w14:textId="77777777" w:rsidR="00024767" w:rsidRPr="004C7BA5" w:rsidRDefault="00024767" w:rsidP="00024767">
      <w:pPr>
        <w:rPr>
          <w:rFonts w:cs="Arabic Transparent"/>
          <w:b/>
          <w:bCs/>
          <w:sz w:val="16"/>
          <w:szCs w:val="16"/>
          <w:u w:val="single"/>
          <w:lang w:bidi="ar-JO"/>
        </w:rPr>
      </w:pPr>
    </w:p>
    <w:p w14:paraId="650A5B81" w14:textId="77777777" w:rsidR="00024767" w:rsidRPr="004C5727" w:rsidRDefault="00024767" w:rsidP="00024767">
      <w:pPr>
        <w:rPr>
          <w:rFonts w:cs="Arabic Transparent"/>
          <w:b/>
          <w:bCs/>
          <w:sz w:val="28"/>
          <w:szCs w:val="28"/>
          <w:u w:val="single"/>
          <w:rtl/>
          <w:lang w:bidi="ar-SA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</w:p>
    <w:p w14:paraId="650A5B82" w14:textId="77777777" w:rsidR="00024767" w:rsidRPr="00912E7B" w:rsidRDefault="00024767" w:rsidP="00024767">
      <w:pPr>
        <w:rPr>
          <w:rFonts w:cs="Arabic Transparent"/>
          <w:sz w:val="10"/>
          <w:szCs w:val="10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024767" w:rsidRPr="00685424" w14:paraId="650A5B87" w14:textId="77777777" w:rsidTr="00E42712"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650A5B83" w14:textId="77777777" w:rsidR="00024767" w:rsidRPr="00685424" w:rsidRDefault="00024767" w:rsidP="00E4271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الكتاب</w:t>
            </w:r>
          </w:p>
        </w:tc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650A5B84" w14:textId="77777777" w:rsidR="00024767" w:rsidRPr="00685424" w:rsidRDefault="00024767" w:rsidP="00E4271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المؤلف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650A5B85" w14:textId="77777777" w:rsidR="00024767" w:rsidRPr="00685424" w:rsidRDefault="00024767" w:rsidP="00E4271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الناشر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650A5B86" w14:textId="77777777" w:rsidR="00024767" w:rsidRPr="00685424" w:rsidRDefault="00024767" w:rsidP="00E4271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سنة النشر</w:t>
            </w:r>
          </w:p>
        </w:tc>
      </w:tr>
      <w:tr w:rsidR="00024767" w:rsidRPr="00685424" w14:paraId="650A5B8E" w14:textId="77777777" w:rsidTr="00E42712"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</w:tcPr>
          <w:p w14:paraId="650A5B88" w14:textId="77777777" w:rsidR="00024767" w:rsidRPr="00381C90" w:rsidRDefault="00024767" w:rsidP="00E42712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81C90">
              <w:rPr>
                <w:rFonts w:cs="Simplified Arabic"/>
                <w:b/>
                <w:bCs/>
                <w:sz w:val="20"/>
                <w:szCs w:val="20"/>
              </w:rPr>
              <w:t>An Introduction to Genetics Analysis –</w:t>
            </w:r>
          </w:p>
          <w:p w14:paraId="650A5B89" w14:textId="77777777" w:rsidR="00024767" w:rsidRPr="00381C90" w:rsidRDefault="00024767" w:rsidP="00E42712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81C90">
              <w:rPr>
                <w:rFonts w:cs="Simplified Arabic"/>
                <w:b/>
                <w:bCs/>
                <w:sz w:val="20"/>
                <w:szCs w:val="20"/>
              </w:rPr>
              <w:t>4</w:t>
            </w:r>
            <w:r w:rsidRPr="00381C90">
              <w:rPr>
                <w:rFonts w:cs="Simplified Arabic"/>
                <w:b/>
                <w:bCs/>
                <w:sz w:val="20"/>
                <w:szCs w:val="20"/>
                <w:vertAlign w:val="superscript"/>
              </w:rPr>
              <w:t>th</w:t>
            </w:r>
            <w:r w:rsidRPr="00381C90">
              <w:rPr>
                <w:rFonts w:cs="Simplified Arabic"/>
                <w:b/>
                <w:bCs/>
                <w:sz w:val="20"/>
                <w:szCs w:val="20"/>
              </w:rPr>
              <w:t xml:space="preserve"> e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d.</w:t>
            </w:r>
          </w:p>
          <w:p w14:paraId="650A5B8A" w14:textId="77777777" w:rsidR="00024767" w:rsidRPr="00381C90" w:rsidRDefault="00024767" w:rsidP="00E42712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</w:tcPr>
          <w:p w14:paraId="650A5B8B" w14:textId="77777777" w:rsidR="00024767" w:rsidRPr="00381C90" w:rsidRDefault="00024767" w:rsidP="00E42712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  <w:r w:rsidRPr="00381C90">
              <w:rPr>
                <w:rFonts w:cs="Simplified Arabic"/>
                <w:b/>
                <w:bCs/>
                <w:sz w:val="20"/>
                <w:szCs w:val="20"/>
              </w:rPr>
              <w:t>Suzuki, D.</w:t>
            </w:r>
            <w:proofErr w:type="gramStart"/>
            <w:r w:rsidRPr="00381C90">
              <w:rPr>
                <w:rFonts w:cs="Simplified Arabic"/>
                <w:b/>
                <w:bCs/>
                <w:sz w:val="20"/>
                <w:szCs w:val="20"/>
              </w:rPr>
              <w:t>,  A.</w:t>
            </w:r>
            <w:proofErr w:type="gramEnd"/>
            <w:r w:rsidRPr="00381C90">
              <w:rPr>
                <w:rFonts w:cs="Simplified Arabic"/>
                <w:b/>
                <w:bCs/>
                <w:sz w:val="20"/>
                <w:szCs w:val="20"/>
              </w:rPr>
              <w:t xml:space="preserve">, Griffith, Jeffrey H. Miller and R. </w:t>
            </w:r>
            <w:proofErr w:type="spellStart"/>
            <w:r w:rsidRPr="00381C90">
              <w:rPr>
                <w:rFonts w:cs="Simplified Arabic"/>
                <w:b/>
                <w:bCs/>
                <w:sz w:val="20"/>
                <w:szCs w:val="20"/>
              </w:rPr>
              <w:t>Lewontin</w:t>
            </w:r>
            <w:proofErr w:type="spellEnd"/>
            <w:r w:rsidRPr="00381C90">
              <w:rPr>
                <w:rFonts w:cs="Simplified Arab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</w:tcPr>
          <w:p w14:paraId="650A5B8C" w14:textId="77777777" w:rsidR="00024767" w:rsidRPr="00381C90" w:rsidRDefault="00024767" w:rsidP="00E42712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  <w:proofErr w:type="spellStart"/>
            <w:r w:rsidRPr="00381C90">
              <w:rPr>
                <w:rFonts w:cs="Simplified Arabic"/>
                <w:b/>
                <w:bCs/>
                <w:sz w:val="20"/>
                <w:szCs w:val="20"/>
              </w:rPr>
              <w:t>W.H.Freeman</w:t>
            </w:r>
            <w:proofErr w:type="spellEnd"/>
            <w:r w:rsidRPr="00381C90">
              <w:rPr>
                <w:rFonts w:cs="Simplified Arabic"/>
                <w:b/>
                <w:bCs/>
                <w:sz w:val="20"/>
                <w:szCs w:val="20"/>
              </w:rPr>
              <w:t xml:space="preserve"> and Company, New </w:t>
            </w:r>
            <w:proofErr w:type="spellStart"/>
            <w:r w:rsidRPr="00381C90">
              <w:rPr>
                <w:rFonts w:cs="Simplified Arabic"/>
                <w:b/>
                <w:bCs/>
                <w:sz w:val="20"/>
                <w:szCs w:val="20"/>
              </w:rPr>
              <w:t>yourk</w:t>
            </w:r>
            <w:proofErr w:type="spellEnd"/>
          </w:p>
        </w:tc>
        <w:tc>
          <w:tcPr>
            <w:tcW w:w="2131" w:type="dxa"/>
            <w:tcBorders>
              <w:top w:val="double" w:sz="4" w:space="0" w:color="auto"/>
              <w:bottom w:val="double" w:sz="4" w:space="0" w:color="auto"/>
            </w:tcBorders>
          </w:tcPr>
          <w:p w14:paraId="650A5B8D" w14:textId="77777777" w:rsidR="00024767" w:rsidRPr="00381C90" w:rsidRDefault="00024767" w:rsidP="00E42712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  <w:r w:rsidRPr="00381C90">
              <w:rPr>
                <w:rFonts w:cs="Simplified Arabic"/>
                <w:b/>
                <w:bCs/>
                <w:sz w:val="20"/>
                <w:szCs w:val="20"/>
              </w:rPr>
              <w:t>1989</w:t>
            </w:r>
          </w:p>
        </w:tc>
      </w:tr>
    </w:tbl>
    <w:p w14:paraId="650A5B8F" w14:textId="77777777" w:rsidR="00FC4B21" w:rsidRDefault="00FC4B21"/>
    <w:sectPr w:rsidR="00FC4B21" w:rsidSect="003F7F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767"/>
    <w:rsid w:val="00024767"/>
    <w:rsid w:val="001C088D"/>
    <w:rsid w:val="003F7F7B"/>
    <w:rsid w:val="00433728"/>
    <w:rsid w:val="0049424D"/>
    <w:rsid w:val="00590715"/>
    <w:rsid w:val="00640C97"/>
    <w:rsid w:val="006A45E9"/>
    <w:rsid w:val="00891A53"/>
    <w:rsid w:val="008A3E02"/>
    <w:rsid w:val="00900F6E"/>
    <w:rsid w:val="00AD4E50"/>
    <w:rsid w:val="00BE5BB7"/>
    <w:rsid w:val="00D55890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50A5B47"/>
  <w15:docId w15:val="{3E1A5864-67F8-432D-B56B-21ACC22C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67"/>
    <w:pPr>
      <w:bidi/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Abdelrhman Z Gaafar</cp:lastModifiedBy>
  <cp:revision>5</cp:revision>
  <dcterms:created xsi:type="dcterms:W3CDTF">2010-07-05T16:41:00Z</dcterms:created>
  <dcterms:modified xsi:type="dcterms:W3CDTF">2022-10-27T12:00:00Z</dcterms:modified>
</cp:coreProperties>
</file>